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auto"/>
          <w:highlight w:val="none"/>
        </w:rPr>
      </w:pPr>
      <w:bookmarkStart w:id="8" w:name="_GoBack"/>
      <w:r>
        <w:rPr>
          <w:rFonts w:hint="eastAsia"/>
          <w:color w:val="auto"/>
          <w:highlight w:val="none"/>
        </w:rPr>
        <w:t>河南理工大学2019年南校区毕业生宿舍改造工程</w:t>
      </w:r>
      <w:r>
        <w:rPr>
          <w:color w:val="auto"/>
          <w:highlight w:val="none"/>
        </w:rPr>
        <w:t>招标公告</w:t>
      </w:r>
    </w:p>
    <w:p>
      <w:pPr>
        <w:pStyle w:val="3"/>
        <w:spacing w:before="2"/>
        <w:rPr>
          <w:b/>
          <w:color w:val="auto"/>
          <w:sz w:val="17"/>
          <w:highlight w:val="none"/>
        </w:rPr>
      </w:pPr>
    </w:p>
    <w:p>
      <w:pPr>
        <w:pStyle w:val="10"/>
        <w:numPr>
          <w:ilvl w:val="0"/>
          <w:numId w:val="1"/>
        </w:numPr>
        <w:tabs>
          <w:tab w:val="left" w:pos="868"/>
        </w:tabs>
        <w:spacing w:before="0" w:after="0" w:line="240" w:lineRule="auto"/>
        <w:ind w:left="868" w:right="0" w:hanging="317"/>
        <w:jc w:val="left"/>
        <w:rPr>
          <w:b/>
          <w:color w:val="auto"/>
          <w:sz w:val="21"/>
          <w:highlight w:val="none"/>
        </w:rPr>
      </w:pPr>
      <w:bookmarkStart w:id="0" w:name="1. 招标条件"/>
      <w:bookmarkEnd w:id="0"/>
      <w:r>
        <w:rPr>
          <w:b/>
          <w:color w:val="auto"/>
          <w:sz w:val="21"/>
          <w:highlight w:val="none"/>
        </w:rPr>
        <w:t>招标条件</w:t>
      </w:r>
    </w:p>
    <w:p>
      <w:pPr>
        <w:pStyle w:val="3"/>
        <w:spacing w:before="6"/>
        <w:rPr>
          <w:b/>
          <w:color w:val="auto"/>
          <w:sz w:val="15"/>
          <w:highlight w:val="none"/>
        </w:rPr>
      </w:pPr>
    </w:p>
    <w:p>
      <w:pPr>
        <w:pStyle w:val="3"/>
        <w:spacing w:before="1" w:line="417" w:lineRule="auto"/>
        <w:ind w:left="551" w:right="715" w:firstLine="420"/>
        <w:rPr>
          <w:color w:val="auto"/>
          <w:highlight w:val="none"/>
        </w:rPr>
      </w:pPr>
      <w:r>
        <w:rPr>
          <w:color w:val="auto"/>
          <w:w w:val="95"/>
          <w:highlight w:val="none"/>
        </w:rPr>
        <w:t>本招标项目</w:t>
      </w:r>
      <w:r>
        <w:rPr>
          <w:rFonts w:hint="eastAsia"/>
          <w:color w:val="auto"/>
          <w:w w:val="95"/>
          <w:highlight w:val="none"/>
          <w:u w:val="single"/>
          <w:lang w:eastAsia="zh-CN"/>
        </w:rPr>
        <w:t>河南理工大学2019年南校区毕业生宿舍改造工程</w:t>
      </w:r>
      <w:r>
        <w:rPr>
          <w:rFonts w:hint="eastAsia"/>
          <w:color w:val="auto"/>
          <w:w w:val="95"/>
          <w:highlight w:val="none"/>
          <w:lang w:eastAsia="zh-CN"/>
        </w:rPr>
        <w:t>采购人</w:t>
      </w:r>
      <w:r>
        <w:rPr>
          <w:color w:val="auto"/>
          <w:w w:val="95"/>
          <w:highlight w:val="none"/>
        </w:rPr>
        <w:t>为</w:t>
      </w:r>
      <w:r>
        <w:rPr>
          <w:rFonts w:hint="eastAsia"/>
          <w:color w:val="auto"/>
          <w:w w:val="95"/>
          <w:highlight w:val="none"/>
          <w:u w:val="single"/>
          <w:lang w:eastAsia="zh-CN"/>
        </w:rPr>
        <w:t>河南理工大学</w:t>
      </w:r>
      <w:r>
        <w:rPr>
          <w:color w:val="auto"/>
          <w:w w:val="95"/>
          <w:highlight w:val="none"/>
        </w:rPr>
        <w:t>，建设资金来自</w:t>
      </w:r>
      <w:r>
        <w:rPr>
          <w:color w:val="auto"/>
          <w:w w:val="95"/>
          <w:highlight w:val="none"/>
          <w:u w:val="single"/>
        </w:rPr>
        <w:t>财政资金</w:t>
      </w:r>
      <w:r>
        <w:rPr>
          <w:color w:val="auto"/>
          <w:w w:val="95"/>
          <w:highlight w:val="none"/>
        </w:rPr>
        <w:t>，</w:t>
      </w:r>
      <w:r>
        <w:rPr>
          <w:color w:val="auto"/>
          <w:spacing w:val="-8"/>
          <w:highlight w:val="none"/>
        </w:rPr>
        <w:t xml:space="preserve">项目出资比例 </w:t>
      </w:r>
      <w:r>
        <w:rPr>
          <w:color w:val="auto"/>
          <w:highlight w:val="none"/>
          <w:u w:val="single"/>
        </w:rPr>
        <w:t>100%</w:t>
      </w:r>
      <w:r>
        <w:rPr>
          <w:color w:val="auto"/>
          <w:highlight w:val="none"/>
        </w:rPr>
        <w:t>。本项目已具备招标条件，现对该项目施工进行公开招标。</w:t>
      </w:r>
    </w:p>
    <w:p>
      <w:pPr>
        <w:pStyle w:val="10"/>
        <w:numPr>
          <w:ilvl w:val="0"/>
          <w:numId w:val="1"/>
        </w:numPr>
        <w:tabs>
          <w:tab w:val="left" w:pos="868"/>
        </w:tabs>
        <w:spacing w:before="0" w:after="0" w:line="269" w:lineRule="exact"/>
        <w:ind w:left="868" w:right="0" w:hanging="317"/>
        <w:jc w:val="left"/>
        <w:rPr>
          <w:b/>
          <w:color w:val="auto"/>
          <w:sz w:val="21"/>
          <w:highlight w:val="none"/>
        </w:rPr>
      </w:pPr>
      <w:bookmarkStart w:id="1" w:name="2. 项目概况与招标范围"/>
      <w:bookmarkEnd w:id="1"/>
      <w:r>
        <w:rPr>
          <w:b/>
          <w:color w:val="auto"/>
          <w:sz w:val="21"/>
          <w:highlight w:val="none"/>
        </w:rPr>
        <w:t>项目概况与招标范围</w:t>
      </w:r>
    </w:p>
    <w:p>
      <w:pPr>
        <w:pStyle w:val="3"/>
        <w:spacing w:before="6"/>
        <w:rPr>
          <w:b/>
          <w:color w:val="auto"/>
          <w:sz w:val="15"/>
          <w:highlight w:val="none"/>
        </w:rPr>
      </w:pPr>
    </w:p>
    <w:p>
      <w:pPr>
        <w:snapToGrid w:val="0"/>
        <w:spacing w:line="360" w:lineRule="auto"/>
        <w:ind w:firstLine="840" w:firstLineChars="400"/>
        <w:rPr>
          <w:rFonts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2"/>
          <w:highlight w:val="none"/>
          <w:lang w:val="en-US" w:eastAsia="zh-CN" w:bidi="zh-CN"/>
        </w:rPr>
        <w:t>2.1</w:t>
      </w:r>
      <w:r>
        <w:rPr>
          <w:rFonts w:ascii="宋体" w:hAnsi="宋体" w:eastAsia="宋体" w:cs="宋体"/>
          <w:color w:val="auto"/>
          <w:sz w:val="21"/>
          <w:szCs w:val="22"/>
          <w:highlight w:val="none"/>
          <w:lang w:val="zh-CN" w:eastAsia="zh-CN" w:bidi="zh-CN"/>
        </w:rPr>
        <w:t>项目名称：</w:t>
      </w:r>
      <w:r>
        <w:rPr>
          <w:rFonts w:hint="eastAsia" w:ascii="宋体" w:hAnsi="宋体" w:eastAsia="宋体" w:cs="宋体"/>
          <w:color w:val="auto"/>
          <w:sz w:val="21"/>
          <w:szCs w:val="22"/>
          <w:highlight w:val="none"/>
          <w:lang w:val="zh-CN" w:eastAsia="zh-CN" w:bidi="zh-CN"/>
        </w:rPr>
        <w:t>河南理工大学2019年南校区毕业生宿舍改造工程</w:t>
      </w:r>
    </w:p>
    <w:p>
      <w:pPr>
        <w:pStyle w:val="10"/>
        <w:numPr>
          <w:ilvl w:val="0"/>
          <w:numId w:val="0"/>
        </w:numPr>
        <w:tabs>
          <w:tab w:val="left" w:pos="1180"/>
        </w:tabs>
        <w:spacing w:before="0" w:after="0" w:line="417" w:lineRule="auto"/>
        <w:ind w:left="760" w:leftChars="0" w:right="5126" w:rightChars="0"/>
        <w:jc w:val="left"/>
        <w:rPr>
          <w:rFonts w:hint="default" w:eastAsia="宋体"/>
          <w:color w:val="auto"/>
          <w:sz w:val="21"/>
          <w:highlight w:val="none"/>
          <w:lang w:val="en-US" w:eastAsia="zh-CN"/>
        </w:rPr>
      </w:pPr>
      <w:r>
        <w:rPr>
          <w:rFonts w:hint="eastAsia"/>
          <w:color w:val="auto"/>
          <w:sz w:val="21"/>
          <w:highlight w:val="none"/>
          <w:lang w:val="en-US" w:eastAsia="zh-CN"/>
        </w:rPr>
        <w:t xml:space="preserve">2.2 </w:t>
      </w:r>
      <w:r>
        <w:rPr>
          <w:color w:val="auto"/>
          <w:sz w:val="21"/>
          <w:highlight w:val="none"/>
        </w:rPr>
        <w:t>编号：豫财招标采购-2019-</w:t>
      </w:r>
      <w:r>
        <w:rPr>
          <w:rFonts w:hint="eastAsia"/>
          <w:color w:val="auto"/>
          <w:sz w:val="21"/>
          <w:highlight w:val="none"/>
          <w:lang w:val="en-US" w:eastAsia="zh-CN"/>
        </w:rPr>
        <w:t>629</w:t>
      </w:r>
    </w:p>
    <w:p>
      <w:pPr>
        <w:pStyle w:val="10"/>
        <w:numPr>
          <w:ilvl w:val="0"/>
          <w:numId w:val="0"/>
        </w:numPr>
        <w:tabs>
          <w:tab w:val="left" w:pos="1180"/>
        </w:tabs>
        <w:spacing w:before="0" w:after="0" w:line="269" w:lineRule="exact"/>
        <w:ind w:left="760" w:leftChars="0" w:right="0" w:rightChars="0"/>
        <w:jc w:val="left"/>
        <w:rPr>
          <w:color w:val="auto"/>
          <w:sz w:val="21"/>
          <w:highlight w:val="none"/>
        </w:rPr>
      </w:pPr>
      <w:r>
        <w:rPr>
          <w:rFonts w:hint="eastAsia"/>
          <w:color w:val="auto"/>
          <w:sz w:val="21"/>
          <w:highlight w:val="none"/>
          <w:lang w:val="en-US" w:eastAsia="zh-CN"/>
        </w:rPr>
        <w:t>2.3</w:t>
      </w:r>
      <w:r>
        <w:rPr>
          <w:color w:val="auto"/>
          <w:sz w:val="21"/>
          <w:highlight w:val="none"/>
        </w:rPr>
        <w:t>建设内容及招标范围：包括工程量清单范围内的所有内容</w:t>
      </w:r>
    </w:p>
    <w:p>
      <w:pPr>
        <w:pStyle w:val="3"/>
        <w:spacing w:before="7"/>
        <w:rPr>
          <w:color w:val="auto"/>
          <w:sz w:val="15"/>
          <w:highlight w:val="none"/>
        </w:rPr>
      </w:pPr>
    </w:p>
    <w:p>
      <w:pPr>
        <w:pStyle w:val="10"/>
        <w:numPr>
          <w:ilvl w:val="0"/>
          <w:numId w:val="0"/>
        </w:numPr>
        <w:tabs>
          <w:tab w:val="left" w:pos="1180"/>
        </w:tabs>
        <w:spacing w:before="0" w:after="0" w:line="240" w:lineRule="auto"/>
        <w:ind w:left="760" w:leftChars="0" w:right="0" w:rightChars="0"/>
        <w:jc w:val="left"/>
        <w:rPr>
          <w:color w:val="auto"/>
          <w:sz w:val="21"/>
          <w:highlight w:val="none"/>
        </w:rPr>
      </w:pPr>
      <w:r>
        <w:rPr>
          <w:rFonts w:hint="eastAsia"/>
          <w:color w:val="auto"/>
          <w:sz w:val="21"/>
          <w:highlight w:val="none"/>
          <w:lang w:val="en-US" w:eastAsia="zh-CN"/>
        </w:rPr>
        <w:t>2.4</w:t>
      </w:r>
      <w:r>
        <w:rPr>
          <w:color w:val="auto"/>
          <w:sz w:val="21"/>
          <w:highlight w:val="none"/>
        </w:rPr>
        <w:t>建设地点：</w:t>
      </w:r>
      <w:r>
        <w:rPr>
          <w:rFonts w:hint="eastAsia"/>
          <w:color w:val="auto"/>
          <w:sz w:val="21"/>
          <w:highlight w:val="none"/>
          <w:lang w:eastAsia="zh-CN"/>
        </w:rPr>
        <w:t>河南理工大学南校区内</w:t>
      </w:r>
    </w:p>
    <w:p>
      <w:pPr>
        <w:pStyle w:val="3"/>
        <w:spacing w:before="7"/>
        <w:rPr>
          <w:color w:val="auto"/>
          <w:sz w:val="15"/>
          <w:highlight w:val="none"/>
        </w:rPr>
      </w:pPr>
    </w:p>
    <w:p>
      <w:pPr>
        <w:pStyle w:val="10"/>
        <w:numPr>
          <w:ilvl w:val="0"/>
          <w:numId w:val="0"/>
        </w:numPr>
        <w:tabs>
          <w:tab w:val="left" w:pos="1180"/>
        </w:tabs>
        <w:spacing w:before="0" w:after="0" w:line="240" w:lineRule="auto"/>
        <w:ind w:left="760" w:leftChars="0" w:right="0" w:rightChars="0"/>
        <w:jc w:val="left"/>
        <w:rPr>
          <w:color w:val="auto"/>
          <w:sz w:val="21"/>
          <w:highlight w:val="none"/>
        </w:rPr>
      </w:pPr>
      <w:r>
        <w:rPr>
          <w:rFonts w:hint="eastAsia"/>
          <w:color w:val="auto"/>
          <w:spacing w:val="-5"/>
          <w:sz w:val="21"/>
          <w:highlight w:val="none"/>
          <w:lang w:val="en-US" w:eastAsia="zh-CN"/>
        </w:rPr>
        <w:t>2.5</w:t>
      </w:r>
      <w:r>
        <w:rPr>
          <w:color w:val="auto"/>
          <w:spacing w:val="-5"/>
          <w:sz w:val="21"/>
          <w:highlight w:val="none"/>
        </w:rPr>
        <w:t xml:space="preserve">计划工期： </w:t>
      </w:r>
      <w:r>
        <w:rPr>
          <w:rFonts w:hint="eastAsia"/>
          <w:color w:val="auto"/>
          <w:sz w:val="21"/>
          <w:highlight w:val="none"/>
          <w:u w:val="single"/>
          <w:lang w:val="en-US" w:eastAsia="zh-CN"/>
        </w:rPr>
        <w:t>35</w:t>
      </w:r>
      <w:r>
        <w:rPr>
          <w:color w:val="auto"/>
          <w:spacing w:val="-14"/>
          <w:sz w:val="21"/>
          <w:highlight w:val="none"/>
        </w:rPr>
        <w:t xml:space="preserve"> 日历天</w:t>
      </w:r>
    </w:p>
    <w:p>
      <w:pPr>
        <w:pStyle w:val="3"/>
        <w:spacing w:before="6"/>
        <w:rPr>
          <w:color w:val="auto"/>
          <w:sz w:val="15"/>
          <w:highlight w:val="none"/>
        </w:rPr>
      </w:pPr>
    </w:p>
    <w:p>
      <w:pPr>
        <w:pStyle w:val="10"/>
        <w:numPr>
          <w:ilvl w:val="0"/>
          <w:numId w:val="0"/>
        </w:numPr>
        <w:tabs>
          <w:tab w:val="left" w:pos="1180"/>
        </w:tabs>
        <w:spacing w:before="1" w:after="0" w:line="240" w:lineRule="auto"/>
        <w:ind w:left="760" w:leftChars="0" w:right="0" w:rightChars="0"/>
        <w:jc w:val="left"/>
        <w:rPr>
          <w:color w:val="auto"/>
          <w:sz w:val="21"/>
          <w:highlight w:val="none"/>
        </w:rPr>
      </w:pPr>
      <w:r>
        <w:rPr>
          <w:rFonts w:hint="eastAsia"/>
          <w:color w:val="auto"/>
          <w:sz w:val="21"/>
          <w:highlight w:val="none"/>
          <w:lang w:val="en-US" w:eastAsia="zh-CN"/>
        </w:rPr>
        <w:t>2.6</w:t>
      </w:r>
      <w:r>
        <w:rPr>
          <w:color w:val="auto"/>
          <w:sz w:val="21"/>
          <w:highlight w:val="none"/>
        </w:rPr>
        <w:t>质量要求：合格</w:t>
      </w:r>
    </w:p>
    <w:p>
      <w:pPr>
        <w:pStyle w:val="3"/>
        <w:spacing w:before="6"/>
        <w:rPr>
          <w:color w:val="auto"/>
          <w:sz w:val="15"/>
          <w:highlight w:val="none"/>
        </w:rPr>
      </w:pPr>
    </w:p>
    <w:p>
      <w:pPr>
        <w:pStyle w:val="10"/>
        <w:numPr>
          <w:ilvl w:val="0"/>
          <w:numId w:val="0"/>
        </w:numPr>
        <w:tabs>
          <w:tab w:val="left" w:pos="1180"/>
        </w:tabs>
        <w:spacing w:before="0" w:after="0" w:line="240" w:lineRule="auto"/>
        <w:ind w:left="760" w:leftChars="0" w:right="0" w:rightChars="0"/>
        <w:jc w:val="left"/>
        <w:rPr>
          <w:color w:val="auto"/>
          <w:sz w:val="21"/>
          <w:highlight w:val="none"/>
        </w:rPr>
      </w:pPr>
      <w:r>
        <w:rPr>
          <w:rFonts w:hint="eastAsia"/>
          <w:color w:val="auto"/>
          <w:sz w:val="21"/>
          <w:highlight w:val="none"/>
          <w:lang w:val="en-US" w:eastAsia="zh-CN"/>
        </w:rPr>
        <w:t>2.7</w:t>
      </w:r>
      <w:r>
        <w:rPr>
          <w:color w:val="auto"/>
          <w:sz w:val="21"/>
          <w:highlight w:val="none"/>
        </w:rPr>
        <w:t>项目预算：</w:t>
      </w:r>
      <w:r>
        <w:rPr>
          <w:rFonts w:hint="eastAsia"/>
          <w:color w:val="auto"/>
          <w:sz w:val="21"/>
          <w:highlight w:val="none"/>
        </w:rPr>
        <w:t>2245580.26元</w:t>
      </w:r>
      <w:r>
        <w:rPr>
          <w:rFonts w:hint="eastAsia"/>
          <w:color w:val="auto"/>
          <w:sz w:val="21"/>
          <w:highlight w:val="none"/>
          <w:lang w:eastAsia="zh-CN"/>
        </w:rPr>
        <w:t>，</w:t>
      </w:r>
      <w:r>
        <w:rPr>
          <w:rFonts w:hint="eastAsia"/>
          <w:color w:val="auto"/>
          <w:sz w:val="21"/>
          <w:highlight w:val="none"/>
        </w:rPr>
        <w:t>招标控制价同预算金额。</w:t>
      </w:r>
    </w:p>
    <w:p>
      <w:pPr>
        <w:pStyle w:val="3"/>
        <w:spacing w:before="7"/>
        <w:rPr>
          <w:color w:val="auto"/>
          <w:sz w:val="15"/>
          <w:highlight w:val="none"/>
        </w:rPr>
      </w:pPr>
    </w:p>
    <w:p>
      <w:pPr>
        <w:pStyle w:val="10"/>
        <w:numPr>
          <w:ilvl w:val="0"/>
          <w:numId w:val="1"/>
        </w:numPr>
        <w:tabs>
          <w:tab w:val="left" w:pos="868"/>
        </w:tabs>
        <w:spacing w:before="0" w:after="0" w:line="240" w:lineRule="auto"/>
        <w:ind w:left="868" w:right="0" w:hanging="317"/>
        <w:jc w:val="both"/>
        <w:rPr>
          <w:b/>
          <w:color w:val="auto"/>
          <w:sz w:val="21"/>
          <w:highlight w:val="none"/>
        </w:rPr>
      </w:pPr>
      <w:bookmarkStart w:id="2" w:name="3. 投标人资格要求"/>
      <w:bookmarkEnd w:id="2"/>
      <w:r>
        <w:rPr>
          <w:b/>
          <w:color w:val="auto"/>
          <w:sz w:val="21"/>
          <w:highlight w:val="none"/>
        </w:rPr>
        <w:t>投标人资格要求</w:t>
      </w:r>
    </w:p>
    <w:p>
      <w:pPr>
        <w:pStyle w:val="3"/>
        <w:spacing w:before="7"/>
        <w:rPr>
          <w:b/>
          <w:color w:val="auto"/>
          <w:sz w:val="15"/>
          <w:highlight w:val="none"/>
        </w:rPr>
      </w:pPr>
    </w:p>
    <w:p>
      <w:pPr>
        <w:pStyle w:val="10"/>
        <w:numPr>
          <w:ilvl w:val="1"/>
          <w:numId w:val="1"/>
        </w:numPr>
        <w:tabs>
          <w:tab w:val="left" w:pos="1180"/>
        </w:tabs>
        <w:spacing w:before="0" w:after="0" w:line="269" w:lineRule="exact"/>
        <w:ind w:left="1180" w:right="0" w:hanging="420"/>
        <w:jc w:val="both"/>
        <w:rPr>
          <w:rFonts w:hint="eastAsia"/>
          <w:color w:val="auto"/>
          <w:sz w:val="21"/>
          <w:highlight w:val="none"/>
        </w:rPr>
      </w:pPr>
      <w:r>
        <w:rPr>
          <w:rFonts w:hint="eastAsia"/>
          <w:color w:val="auto"/>
          <w:sz w:val="21"/>
          <w:highlight w:val="none"/>
        </w:rPr>
        <w:t>符合《中华人民共和国政府采购法》第二十二条规定，并同时具备下列条件：</w:t>
      </w:r>
    </w:p>
    <w:p>
      <w:pPr>
        <w:pStyle w:val="10"/>
        <w:numPr>
          <w:ilvl w:val="0"/>
          <w:numId w:val="0"/>
        </w:numPr>
        <w:tabs>
          <w:tab w:val="left" w:pos="1180"/>
        </w:tabs>
        <w:spacing w:before="0" w:after="0" w:line="269" w:lineRule="exact"/>
        <w:ind w:left="760" w:leftChars="0" w:right="0" w:rightChars="0"/>
        <w:jc w:val="both"/>
        <w:rPr>
          <w:rFonts w:hint="eastAsia"/>
          <w:color w:val="auto"/>
          <w:sz w:val="21"/>
          <w:highlight w:val="none"/>
        </w:rPr>
      </w:pPr>
    </w:p>
    <w:p>
      <w:pPr>
        <w:pStyle w:val="10"/>
        <w:numPr>
          <w:ilvl w:val="1"/>
          <w:numId w:val="1"/>
        </w:numPr>
        <w:tabs>
          <w:tab w:val="left" w:pos="1180"/>
        </w:tabs>
        <w:spacing w:before="0" w:after="0" w:line="269" w:lineRule="exact"/>
        <w:ind w:left="1180" w:right="0" w:hanging="420"/>
        <w:jc w:val="both"/>
        <w:rPr>
          <w:color w:val="auto"/>
          <w:sz w:val="21"/>
          <w:highlight w:val="none"/>
        </w:rPr>
      </w:pPr>
      <w:r>
        <w:rPr>
          <w:color w:val="auto"/>
          <w:sz w:val="21"/>
          <w:highlight w:val="none"/>
        </w:rPr>
        <w:t>投标人须具有建筑工程施工总承包</w:t>
      </w:r>
      <w:r>
        <w:rPr>
          <w:rFonts w:hint="eastAsia"/>
          <w:color w:val="auto"/>
          <w:sz w:val="21"/>
          <w:highlight w:val="none"/>
          <w:lang w:eastAsia="zh-CN"/>
        </w:rPr>
        <w:t>叁</w:t>
      </w:r>
      <w:r>
        <w:rPr>
          <w:color w:val="auto"/>
          <w:sz w:val="21"/>
          <w:highlight w:val="none"/>
        </w:rPr>
        <w:t>级</w:t>
      </w:r>
      <w:r>
        <w:rPr>
          <w:rFonts w:hint="eastAsia"/>
          <w:color w:val="auto"/>
          <w:sz w:val="21"/>
          <w:highlight w:val="none"/>
          <w:lang w:eastAsia="zh-CN"/>
        </w:rPr>
        <w:t>或</w:t>
      </w:r>
      <w:r>
        <w:rPr>
          <w:rFonts w:hint="eastAsia"/>
          <w:color w:val="auto"/>
          <w:sz w:val="21"/>
          <w:highlight w:val="none"/>
        </w:rPr>
        <w:t>建筑装修装饰工程专业承包</w:t>
      </w:r>
      <w:r>
        <w:rPr>
          <w:rFonts w:hint="eastAsia"/>
          <w:color w:val="auto"/>
          <w:sz w:val="21"/>
          <w:highlight w:val="none"/>
          <w:lang w:eastAsia="zh-CN"/>
        </w:rPr>
        <w:t>贰</w:t>
      </w:r>
      <w:r>
        <w:rPr>
          <w:rFonts w:hint="eastAsia"/>
          <w:color w:val="auto"/>
          <w:sz w:val="21"/>
          <w:highlight w:val="none"/>
        </w:rPr>
        <w:t>级及以上资质</w:t>
      </w:r>
      <w:r>
        <w:rPr>
          <w:color w:val="auto"/>
          <w:sz w:val="21"/>
          <w:highlight w:val="none"/>
        </w:rPr>
        <w:t>及以</w:t>
      </w:r>
    </w:p>
    <w:p>
      <w:pPr>
        <w:pStyle w:val="10"/>
        <w:numPr>
          <w:ilvl w:val="0"/>
          <w:numId w:val="0"/>
        </w:numPr>
        <w:tabs>
          <w:tab w:val="left" w:pos="1180"/>
        </w:tabs>
        <w:spacing w:before="0" w:after="0" w:line="269" w:lineRule="exact"/>
        <w:ind w:right="0" w:rightChars="0" w:firstLine="630" w:firstLineChars="300"/>
        <w:jc w:val="both"/>
        <w:rPr>
          <w:color w:val="auto"/>
          <w:sz w:val="21"/>
          <w:highlight w:val="none"/>
        </w:rPr>
      </w:pPr>
      <w:r>
        <w:rPr>
          <w:color w:val="auto"/>
          <w:sz w:val="21"/>
          <w:highlight w:val="none"/>
        </w:rPr>
        <w:t>上资质</w:t>
      </w:r>
      <w:r>
        <w:rPr>
          <w:rFonts w:hint="eastAsia"/>
          <w:color w:val="auto"/>
          <w:sz w:val="21"/>
          <w:highlight w:val="none"/>
          <w:lang w:eastAsia="zh-CN"/>
        </w:rPr>
        <w:t>，</w:t>
      </w:r>
      <w:r>
        <w:rPr>
          <w:color w:val="auto"/>
          <w:sz w:val="21"/>
          <w:highlight w:val="none"/>
        </w:rPr>
        <w:t>具有有效的安全生产许可证；</w:t>
      </w:r>
    </w:p>
    <w:p>
      <w:pPr>
        <w:pStyle w:val="3"/>
        <w:spacing w:before="6"/>
        <w:rPr>
          <w:color w:val="auto"/>
          <w:sz w:val="15"/>
          <w:highlight w:val="none"/>
        </w:rPr>
      </w:pPr>
    </w:p>
    <w:p>
      <w:pPr>
        <w:pStyle w:val="10"/>
        <w:numPr>
          <w:ilvl w:val="1"/>
          <w:numId w:val="1"/>
        </w:numPr>
        <w:tabs>
          <w:tab w:val="left" w:pos="1180"/>
        </w:tabs>
        <w:spacing w:before="0" w:after="0" w:line="269" w:lineRule="exact"/>
        <w:ind w:left="1180" w:right="0" w:hanging="420"/>
        <w:jc w:val="both"/>
        <w:rPr>
          <w:rFonts w:hint="eastAsia"/>
          <w:color w:val="auto"/>
          <w:sz w:val="21"/>
          <w:highlight w:val="none"/>
        </w:rPr>
      </w:pPr>
      <w:r>
        <w:rPr>
          <w:rFonts w:hint="eastAsia"/>
          <w:color w:val="auto"/>
          <w:sz w:val="21"/>
          <w:highlight w:val="none"/>
        </w:rPr>
        <w:t>拟派项目经理须具有建筑工程专业二级及以上注册建造师证书，且具有有效的安全考核合格证，不得有其他在建工程；</w:t>
      </w:r>
    </w:p>
    <w:p>
      <w:pPr>
        <w:pStyle w:val="10"/>
        <w:numPr>
          <w:ilvl w:val="1"/>
          <w:numId w:val="1"/>
        </w:numPr>
        <w:tabs>
          <w:tab w:val="left" w:pos="1180"/>
        </w:tabs>
        <w:spacing w:before="0" w:after="0" w:line="269" w:lineRule="exact"/>
        <w:ind w:left="1180" w:right="0" w:hanging="420"/>
        <w:jc w:val="both"/>
        <w:rPr>
          <w:color w:val="auto"/>
          <w:sz w:val="21"/>
          <w:highlight w:val="none"/>
        </w:rPr>
      </w:pPr>
      <w:r>
        <w:rPr>
          <w:rFonts w:hint="eastAsia"/>
          <w:color w:val="auto"/>
          <w:sz w:val="21"/>
          <w:highlight w:val="none"/>
        </w:rPr>
        <w:t>根据《关于在政府采购活动中查询及使用信用记录有关问题的通知》(财库[2016]125号)和</w:t>
      </w:r>
    </w:p>
    <w:p>
      <w:pPr>
        <w:pStyle w:val="10"/>
        <w:numPr>
          <w:ilvl w:val="0"/>
          <w:numId w:val="0"/>
        </w:numPr>
        <w:tabs>
          <w:tab w:val="left" w:pos="1180"/>
        </w:tabs>
        <w:spacing w:before="0" w:after="0" w:line="269" w:lineRule="exact"/>
        <w:ind w:left="760" w:leftChars="0" w:right="0" w:rightChars="0"/>
        <w:jc w:val="both"/>
        <w:rPr>
          <w:color w:val="auto"/>
          <w:sz w:val="21"/>
          <w:highlight w:val="none"/>
        </w:rPr>
      </w:pPr>
    </w:p>
    <w:p>
      <w:pPr>
        <w:pStyle w:val="10"/>
        <w:numPr>
          <w:ilvl w:val="0"/>
          <w:numId w:val="0"/>
        </w:numPr>
        <w:tabs>
          <w:tab w:val="left" w:pos="1180"/>
        </w:tabs>
        <w:spacing w:before="0" w:after="0" w:line="269" w:lineRule="exact"/>
        <w:ind w:left="760" w:leftChars="0" w:right="0" w:rightChars="0"/>
        <w:jc w:val="both"/>
        <w:rPr>
          <w:rFonts w:hint="eastAsia"/>
          <w:color w:val="auto"/>
          <w:sz w:val="21"/>
          <w:highlight w:val="none"/>
        </w:rPr>
      </w:pPr>
      <w:r>
        <w:rPr>
          <w:rFonts w:hint="eastAsia"/>
          <w:color w:val="auto"/>
          <w:sz w:val="21"/>
          <w:highlight w:val="none"/>
        </w:rPr>
        <w:t>豫财购【2016】15号的规定，对列入失信被执行人和重大税收违法案件当事人名单（查询网址</w:t>
      </w:r>
    </w:p>
    <w:p>
      <w:pPr>
        <w:pStyle w:val="10"/>
        <w:numPr>
          <w:ilvl w:val="0"/>
          <w:numId w:val="0"/>
        </w:numPr>
        <w:tabs>
          <w:tab w:val="left" w:pos="1180"/>
        </w:tabs>
        <w:spacing w:before="0" w:after="0" w:line="269" w:lineRule="exact"/>
        <w:ind w:right="0" w:rightChars="0"/>
        <w:jc w:val="both"/>
        <w:rPr>
          <w:rFonts w:hint="eastAsia"/>
          <w:color w:val="auto"/>
          <w:sz w:val="21"/>
          <w:highlight w:val="none"/>
        </w:rPr>
      </w:pPr>
    </w:p>
    <w:p>
      <w:pPr>
        <w:pStyle w:val="10"/>
        <w:numPr>
          <w:ilvl w:val="0"/>
          <w:numId w:val="0"/>
        </w:numPr>
        <w:tabs>
          <w:tab w:val="left" w:pos="1180"/>
        </w:tabs>
        <w:spacing w:before="0" w:after="0" w:line="269" w:lineRule="exact"/>
        <w:ind w:left="760" w:leftChars="0" w:right="0" w:rightChars="0"/>
        <w:jc w:val="both"/>
        <w:rPr>
          <w:rFonts w:hint="eastAsia"/>
          <w:color w:val="auto"/>
          <w:sz w:val="21"/>
          <w:highlight w:val="none"/>
        </w:rPr>
      </w:pPr>
      <w:r>
        <w:rPr>
          <w:rFonts w:hint="eastAsia"/>
          <w:color w:val="auto"/>
          <w:sz w:val="21"/>
          <w:highlight w:val="none"/>
        </w:rPr>
        <w:t>“信用中国”网（www.creditchina.gov.cn））、政府采购严重违法失信行为记录名单（查询</w:t>
      </w:r>
    </w:p>
    <w:p>
      <w:pPr>
        <w:pStyle w:val="10"/>
        <w:numPr>
          <w:ilvl w:val="0"/>
          <w:numId w:val="0"/>
        </w:numPr>
        <w:tabs>
          <w:tab w:val="left" w:pos="1180"/>
        </w:tabs>
        <w:spacing w:before="0" w:after="0" w:line="269" w:lineRule="exact"/>
        <w:ind w:left="760" w:leftChars="0" w:right="0" w:rightChars="0"/>
        <w:jc w:val="both"/>
        <w:rPr>
          <w:rFonts w:hint="eastAsia"/>
          <w:color w:val="auto"/>
          <w:sz w:val="21"/>
          <w:highlight w:val="none"/>
        </w:rPr>
      </w:pPr>
    </w:p>
    <w:p>
      <w:pPr>
        <w:pStyle w:val="10"/>
        <w:numPr>
          <w:ilvl w:val="0"/>
          <w:numId w:val="0"/>
        </w:numPr>
        <w:tabs>
          <w:tab w:val="left" w:pos="1180"/>
        </w:tabs>
        <w:spacing w:before="0" w:after="0" w:line="269" w:lineRule="exact"/>
        <w:ind w:left="760" w:leftChars="0" w:right="0" w:rightChars="0"/>
        <w:jc w:val="both"/>
        <w:rPr>
          <w:rFonts w:hint="eastAsia"/>
          <w:color w:val="auto"/>
          <w:sz w:val="21"/>
          <w:highlight w:val="none"/>
        </w:rPr>
      </w:pPr>
      <w:r>
        <w:rPr>
          <w:rFonts w:hint="eastAsia"/>
          <w:color w:val="auto"/>
          <w:sz w:val="21"/>
          <w:highlight w:val="none"/>
        </w:rPr>
        <w:t>网址“中国政府采购”网（www.ccgp.gov.cn）的投标人，拒绝其参与本招标项目。</w:t>
      </w:r>
    </w:p>
    <w:p>
      <w:pPr>
        <w:pStyle w:val="10"/>
        <w:numPr>
          <w:ilvl w:val="0"/>
          <w:numId w:val="0"/>
        </w:numPr>
        <w:tabs>
          <w:tab w:val="left" w:pos="1180"/>
        </w:tabs>
        <w:spacing w:before="0" w:after="0" w:line="269" w:lineRule="exact"/>
        <w:ind w:left="760" w:leftChars="0" w:right="0" w:rightChars="0"/>
        <w:jc w:val="both"/>
        <w:rPr>
          <w:rFonts w:hint="eastAsia"/>
          <w:color w:val="auto"/>
          <w:sz w:val="21"/>
          <w:highlight w:val="none"/>
        </w:rPr>
      </w:pPr>
    </w:p>
    <w:p>
      <w:pPr>
        <w:pStyle w:val="10"/>
        <w:numPr>
          <w:ilvl w:val="1"/>
          <w:numId w:val="1"/>
        </w:numPr>
        <w:tabs>
          <w:tab w:val="left" w:pos="1180"/>
        </w:tabs>
        <w:spacing w:before="0" w:after="0" w:line="269" w:lineRule="exact"/>
        <w:ind w:left="1180" w:right="0" w:hanging="420"/>
        <w:jc w:val="both"/>
        <w:rPr>
          <w:color w:val="auto"/>
          <w:sz w:val="21"/>
          <w:highlight w:val="none"/>
        </w:rPr>
      </w:pPr>
      <w:r>
        <w:rPr>
          <w:color w:val="auto"/>
          <w:sz w:val="21"/>
          <w:highlight w:val="none"/>
        </w:rPr>
        <w:t>本项目不接受联合体投标。</w:t>
      </w:r>
    </w:p>
    <w:p>
      <w:pPr>
        <w:pStyle w:val="3"/>
        <w:spacing w:before="7"/>
        <w:rPr>
          <w:color w:val="auto"/>
          <w:sz w:val="15"/>
          <w:highlight w:val="none"/>
        </w:rPr>
      </w:pPr>
    </w:p>
    <w:p>
      <w:pPr>
        <w:pStyle w:val="10"/>
        <w:numPr>
          <w:ilvl w:val="0"/>
          <w:numId w:val="1"/>
        </w:numPr>
        <w:tabs>
          <w:tab w:val="left" w:pos="868"/>
        </w:tabs>
        <w:spacing w:before="0" w:after="0" w:line="240" w:lineRule="auto"/>
        <w:ind w:left="868" w:right="0" w:hanging="317"/>
        <w:jc w:val="both"/>
        <w:rPr>
          <w:b/>
          <w:color w:val="auto"/>
          <w:sz w:val="21"/>
          <w:highlight w:val="none"/>
        </w:rPr>
      </w:pPr>
      <w:r>
        <w:rPr>
          <w:b/>
          <w:color w:val="auto"/>
          <w:sz w:val="21"/>
          <w:highlight w:val="none"/>
        </w:rPr>
        <w:t>投标报名</w:t>
      </w:r>
    </w:p>
    <w:p>
      <w:pPr>
        <w:pStyle w:val="3"/>
        <w:spacing w:before="7"/>
        <w:rPr>
          <w:b/>
          <w:color w:val="auto"/>
          <w:sz w:val="15"/>
          <w:highlight w:val="none"/>
        </w:rPr>
      </w:pPr>
    </w:p>
    <w:p>
      <w:pPr>
        <w:pStyle w:val="10"/>
        <w:numPr>
          <w:ilvl w:val="1"/>
          <w:numId w:val="1"/>
        </w:numPr>
        <w:tabs>
          <w:tab w:val="left" w:pos="1180"/>
        </w:tabs>
        <w:spacing w:before="0" w:after="0" w:line="417" w:lineRule="auto"/>
        <w:ind w:left="551" w:right="710" w:firstLine="208"/>
        <w:jc w:val="both"/>
        <w:rPr>
          <w:color w:val="auto"/>
          <w:sz w:val="21"/>
          <w:highlight w:val="none"/>
        </w:rPr>
      </w:pPr>
      <w:r>
        <w:rPr>
          <w:color w:val="auto"/>
          <w:spacing w:val="-9"/>
          <w:sz w:val="21"/>
          <w:highlight w:val="none"/>
        </w:rPr>
        <w:t>投标人</w:t>
      </w:r>
      <w:r>
        <w:rPr>
          <w:color w:val="auto"/>
          <w:sz w:val="21"/>
          <w:highlight w:val="none"/>
        </w:rPr>
        <w:t>（供应商</w:t>
      </w:r>
      <w:r>
        <w:rPr>
          <w:color w:val="auto"/>
          <w:spacing w:val="-25"/>
          <w:sz w:val="21"/>
          <w:highlight w:val="none"/>
        </w:rPr>
        <w:t>）</w:t>
      </w:r>
      <w:r>
        <w:rPr>
          <w:color w:val="auto"/>
          <w:spacing w:val="-7"/>
          <w:sz w:val="21"/>
          <w:highlight w:val="none"/>
        </w:rPr>
        <w:t xml:space="preserve">首先完成诚信库入库登记、办理 </w:t>
      </w:r>
      <w:r>
        <w:rPr>
          <w:color w:val="auto"/>
          <w:sz w:val="21"/>
          <w:highlight w:val="none"/>
        </w:rPr>
        <w:t>CA</w:t>
      </w:r>
      <w:r>
        <w:rPr>
          <w:color w:val="auto"/>
          <w:spacing w:val="-10"/>
          <w:sz w:val="21"/>
          <w:highlight w:val="none"/>
        </w:rPr>
        <w:t xml:space="preserve"> 数字证书及电子签章</w:t>
      </w:r>
      <w:r>
        <w:rPr>
          <w:color w:val="auto"/>
          <w:sz w:val="21"/>
          <w:highlight w:val="none"/>
        </w:rPr>
        <w:t>（具体办理事宜</w:t>
      </w:r>
      <w:r>
        <w:rPr>
          <w:color w:val="auto"/>
          <w:spacing w:val="-2"/>
          <w:sz w:val="21"/>
          <w:highlight w:val="none"/>
        </w:rPr>
        <w:t xml:space="preserve">请查询河南省公共资源交易中心网站-办事指南-《公共资源项目 </w:t>
      </w:r>
      <w:r>
        <w:rPr>
          <w:color w:val="auto"/>
          <w:sz w:val="21"/>
          <w:highlight w:val="none"/>
        </w:rPr>
        <w:t>CA</w:t>
      </w:r>
      <w:r>
        <w:rPr>
          <w:color w:val="auto"/>
          <w:spacing w:val="-10"/>
          <w:sz w:val="21"/>
          <w:highlight w:val="none"/>
        </w:rPr>
        <w:t xml:space="preserve"> 办理流程》</w:t>
      </w:r>
      <w:r>
        <w:rPr>
          <w:color w:val="auto"/>
          <w:sz w:val="21"/>
          <w:highlight w:val="none"/>
        </w:rPr>
        <w:t>）。</w:t>
      </w:r>
    </w:p>
    <w:p>
      <w:pPr>
        <w:pStyle w:val="3"/>
        <w:spacing w:before="7"/>
        <w:rPr>
          <w:color w:val="auto"/>
          <w:sz w:val="11"/>
          <w:highlight w:val="none"/>
        </w:rPr>
      </w:pPr>
    </w:p>
    <w:p>
      <w:pPr>
        <w:pStyle w:val="3"/>
        <w:spacing w:before="70" w:line="417" w:lineRule="auto"/>
        <w:ind w:left="551" w:right="707" w:firstLine="208"/>
        <w:jc w:val="both"/>
        <w:rPr>
          <w:color w:val="auto"/>
          <w:highlight w:val="none"/>
        </w:rPr>
      </w:pPr>
      <w:r>
        <w:rPr>
          <w:color w:val="auto"/>
          <w:highlight w:val="none"/>
        </w:rPr>
        <w:t>4.2</w:t>
      </w:r>
      <w:r>
        <w:rPr>
          <w:color w:val="auto"/>
          <w:spacing w:val="-5"/>
          <w:highlight w:val="none"/>
        </w:rPr>
        <w:t xml:space="preserve">.凡有意参加投标者，请于 </w:t>
      </w:r>
      <w:r>
        <w:rPr>
          <w:color w:val="auto"/>
          <w:highlight w:val="none"/>
        </w:rPr>
        <w:t>2019</w:t>
      </w:r>
      <w:r>
        <w:rPr>
          <w:color w:val="auto"/>
          <w:spacing w:val="-36"/>
          <w:highlight w:val="none"/>
        </w:rPr>
        <w:t xml:space="preserve"> 年</w:t>
      </w:r>
      <w:r>
        <w:rPr>
          <w:rFonts w:hint="eastAsia"/>
          <w:color w:val="auto"/>
          <w:spacing w:val="-36"/>
          <w:highlight w:val="none"/>
          <w:lang w:val="en-US" w:eastAsia="zh-CN"/>
        </w:rPr>
        <w:t xml:space="preserve"> 0</w:t>
      </w:r>
      <w:r>
        <w:rPr>
          <w:color w:val="auto"/>
          <w:spacing w:val="-36"/>
          <w:highlight w:val="none"/>
        </w:rPr>
        <w:t xml:space="preserve"> </w:t>
      </w:r>
      <w:r>
        <w:rPr>
          <w:rFonts w:hint="eastAsia"/>
          <w:color w:val="auto"/>
          <w:highlight w:val="none"/>
          <w:lang w:val="en-US" w:eastAsia="zh-CN"/>
        </w:rPr>
        <w:t>5</w:t>
      </w:r>
      <w:r>
        <w:rPr>
          <w:color w:val="auto"/>
          <w:spacing w:val="-36"/>
          <w:highlight w:val="none"/>
        </w:rPr>
        <w:t>月</w:t>
      </w:r>
      <w:r>
        <w:rPr>
          <w:rFonts w:hint="eastAsia"/>
          <w:color w:val="auto"/>
          <w:spacing w:val="-36"/>
          <w:highlight w:val="none"/>
          <w:lang w:val="en-US" w:eastAsia="zh-CN"/>
        </w:rPr>
        <w:t xml:space="preserve"> 1 0 </w:t>
      </w:r>
      <w:r>
        <w:rPr>
          <w:color w:val="auto"/>
          <w:spacing w:val="-28"/>
          <w:highlight w:val="none"/>
        </w:rPr>
        <w:t xml:space="preserve">日至 </w:t>
      </w:r>
      <w:r>
        <w:rPr>
          <w:color w:val="auto"/>
          <w:highlight w:val="none"/>
        </w:rPr>
        <w:t>2019</w:t>
      </w:r>
      <w:r>
        <w:rPr>
          <w:color w:val="auto"/>
          <w:spacing w:val="-36"/>
          <w:highlight w:val="none"/>
        </w:rPr>
        <w:t xml:space="preserve"> 年</w:t>
      </w:r>
      <w:r>
        <w:rPr>
          <w:rFonts w:hint="eastAsia"/>
          <w:color w:val="auto"/>
          <w:spacing w:val="-36"/>
          <w:highlight w:val="none"/>
          <w:lang w:val="en-US" w:eastAsia="zh-CN"/>
        </w:rPr>
        <w:t xml:space="preserve"> 0</w:t>
      </w:r>
      <w:r>
        <w:rPr>
          <w:color w:val="auto"/>
          <w:spacing w:val="-36"/>
          <w:highlight w:val="none"/>
        </w:rPr>
        <w:t xml:space="preserve"> </w:t>
      </w:r>
      <w:r>
        <w:rPr>
          <w:rFonts w:hint="eastAsia"/>
          <w:color w:val="auto"/>
          <w:highlight w:val="none"/>
          <w:lang w:val="en-US" w:eastAsia="zh-CN"/>
        </w:rPr>
        <w:t>5</w:t>
      </w:r>
      <w:r>
        <w:rPr>
          <w:color w:val="auto"/>
          <w:spacing w:val="-36"/>
          <w:highlight w:val="none"/>
        </w:rPr>
        <w:t xml:space="preserve"> 月</w:t>
      </w:r>
      <w:r>
        <w:rPr>
          <w:rFonts w:hint="eastAsia"/>
          <w:color w:val="auto"/>
          <w:spacing w:val="-36"/>
          <w:highlight w:val="none"/>
          <w:lang w:val="en-US" w:eastAsia="zh-CN"/>
        </w:rPr>
        <w:t xml:space="preserve">  1  6 </w:t>
      </w:r>
      <w:r>
        <w:rPr>
          <w:color w:val="auto"/>
          <w:spacing w:val="-8"/>
          <w:highlight w:val="none"/>
        </w:rPr>
        <w:t>日在《河南省公共资源交易中心网》（</w:t>
      </w:r>
      <w:r>
        <w:rPr>
          <w:color w:val="auto"/>
          <w:highlight w:val="none"/>
        </w:rPr>
        <w:fldChar w:fldCharType="begin"/>
      </w:r>
      <w:r>
        <w:rPr>
          <w:color w:val="auto"/>
          <w:highlight w:val="none"/>
        </w:rPr>
        <w:instrText xml:space="preserve"> HYPERLINK "http://www.hnggzy.com/" \h </w:instrText>
      </w:r>
      <w:r>
        <w:rPr>
          <w:color w:val="auto"/>
          <w:highlight w:val="none"/>
        </w:rPr>
        <w:fldChar w:fldCharType="separate"/>
      </w:r>
      <w:r>
        <w:rPr>
          <w:color w:val="auto"/>
          <w:spacing w:val="-8"/>
          <w:highlight w:val="none"/>
        </w:rPr>
        <w:t>www.hnggzy.com</w:t>
      </w:r>
      <w:r>
        <w:rPr>
          <w:color w:val="auto"/>
          <w:spacing w:val="-8"/>
          <w:highlight w:val="none"/>
        </w:rPr>
        <w:fldChar w:fldCharType="end"/>
      </w:r>
      <w:r>
        <w:rPr>
          <w:color w:val="auto"/>
          <w:spacing w:val="-8"/>
          <w:highlight w:val="none"/>
        </w:rPr>
        <w:t>）进行网上报名。</w:t>
      </w:r>
    </w:p>
    <w:p>
      <w:pPr>
        <w:pStyle w:val="10"/>
        <w:numPr>
          <w:ilvl w:val="0"/>
          <w:numId w:val="1"/>
        </w:numPr>
        <w:tabs>
          <w:tab w:val="left" w:pos="868"/>
        </w:tabs>
        <w:spacing w:before="0" w:after="0" w:line="269" w:lineRule="exact"/>
        <w:ind w:left="868" w:right="0" w:hanging="317"/>
        <w:jc w:val="both"/>
        <w:rPr>
          <w:b/>
          <w:color w:val="auto"/>
          <w:sz w:val="21"/>
          <w:highlight w:val="none"/>
        </w:rPr>
      </w:pPr>
      <w:bookmarkStart w:id="3" w:name="5. 招标文件的发售"/>
      <w:bookmarkEnd w:id="3"/>
      <w:r>
        <w:rPr>
          <w:b/>
          <w:color w:val="auto"/>
          <w:sz w:val="21"/>
          <w:highlight w:val="none"/>
        </w:rPr>
        <w:t>招标文件的发售</w:t>
      </w:r>
    </w:p>
    <w:p>
      <w:pPr>
        <w:pStyle w:val="3"/>
        <w:spacing w:before="7"/>
        <w:rPr>
          <w:b/>
          <w:color w:val="auto"/>
          <w:sz w:val="15"/>
          <w:highlight w:val="none"/>
        </w:rPr>
      </w:pPr>
    </w:p>
    <w:p>
      <w:pPr>
        <w:pStyle w:val="10"/>
        <w:numPr>
          <w:ilvl w:val="1"/>
          <w:numId w:val="1"/>
        </w:numPr>
        <w:tabs>
          <w:tab w:val="left" w:pos="1180"/>
        </w:tabs>
        <w:spacing w:before="0" w:after="0" w:line="417" w:lineRule="auto"/>
        <w:ind w:left="551" w:right="712" w:firstLine="208"/>
        <w:jc w:val="both"/>
        <w:rPr>
          <w:color w:val="auto"/>
          <w:sz w:val="21"/>
          <w:highlight w:val="none"/>
        </w:rPr>
      </w:pPr>
      <w:r>
        <w:rPr>
          <w:color w:val="auto"/>
          <w:spacing w:val="-6"/>
          <w:sz w:val="21"/>
          <w:highlight w:val="none"/>
        </w:rPr>
        <w:t xml:space="preserve">报名成功后的投标人凭 </w:t>
      </w:r>
      <w:r>
        <w:rPr>
          <w:color w:val="auto"/>
          <w:sz w:val="21"/>
          <w:highlight w:val="none"/>
        </w:rPr>
        <w:t>CA</w:t>
      </w:r>
      <w:r>
        <w:rPr>
          <w:color w:val="auto"/>
          <w:spacing w:val="-14"/>
          <w:sz w:val="21"/>
          <w:highlight w:val="none"/>
        </w:rPr>
        <w:t xml:space="preserve"> 密钥登录市场主体库系统，按要求下载招标文件，招标文件售价</w:t>
      </w:r>
      <w:r>
        <w:rPr>
          <w:color w:val="auto"/>
          <w:spacing w:val="-26"/>
          <w:sz w:val="21"/>
          <w:highlight w:val="none"/>
        </w:rPr>
        <w:t xml:space="preserve">人民币 </w:t>
      </w:r>
      <w:r>
        <w:rPr>
          <w:color w:val="auto"/>
          <w:sz w:val="21"/>
          <w:highlight w:val="none"/>
        </w:rPr>
        <w:t>300</w:t>
      </w:r>
      <w:r>
        <w:rPr>
          <w:color w:val="auto"/>
          <w:spacing w:val="-8"/>
          <w:sz w:val="21"/>
          <w:highlight w:val="none"/>
        </w:rPr>
        <w:t xml:space="preserve"> 元整，售后不退。招标文件以《河南省公共资源交易中心网》的电子招标文件为准， </w:t>
      </w:r>
      <w:r>
        <w:rPr>
          <w:rFonts w:hint="eastAsia"/>
          <w:color w:val="auto"/>
          <w:spacing w:val="-8"/>
          <w:sz w:val="21"/>
          <w:highlight w:val="none"/>
          <w:lang w:eastAsia="zh-CN"/>
        </w:rPr>
        <w:t>采购人</w:t>
      </w:r>
      <w:r>
        <w:rPr>
          <w:color w:val="auto"/>
          <w:spacing w:val="-8"/>
          <w:sz w:val="21"/>
          <w:highlight w:val="none"/>
        </w:rPr>
        <w:t>不再提供纸质招标文件。</w:t>
      </w:r>
    </w:p>
    <w:p>
      <w:pPr>
        <w:pStyle w:val="10"/>
        <w:numPr>
          <w:ilvl w:val="1"/>
          <w:numId w:val="1"/>
        </w:numPr>
        <w:tabs>
          <w:tab w:val="left" w:pos="1180"/>
        </w:tabs>
        <w:spacing w:before="0" w:after="0" w:line="417" w:lineRule="auto"/>
        <w:ind w:left="551" w:right="707" w:firstLine="208"/>
        <w:jc w:val="both"/>
        <w:rPr>
          <w:color w:val="auto"/>
          <w:sz w:val="21"/>
          <w:highlight w:val="none"/>
        </w:rPr>
      </w:pPr>
      <w:r>
        <w:rPr>
          <w:color w:val="auto"/>
          <w:spacing w:val="-5"/>
          <w:sz w:val="21"/>
          <w:highlight w:val="none"/>
        </w:rPr>
        <w:t xml:space="preserve">招标文件发售时间：为 </w:t>
      </w:r>
      <w:r>
        <w:rPr>
          <w:color w:val="auto"/>
          <w:sz w:val="21"/>
          <w:highlight w:val="none"/>
        </w:rPr>
        <w:t>2019</w:t>
      </w:r>
      <w:r>
        <w:rPr>
          <w:color w:val="auto"/>
          <w:spacing w:val="-37"/>
          <w:sz w:val="21"/>
          <w:highlight w:val="none"/>
        </w:rPr>
        <w:t xml:space="preserve"> 年</w:t>
      </w:r>
      <w:r>
        <w:rPr>
          <w:rFonts w:hint="eastAsia"/>
          <w:color w:val="auto"/>
          <w:spacing w:val="-37"/>
          <w:sz w:val="21"/>
          <w:highlight w:val="none"/>
          <w:lang w:val="en-US" w:eastAsia="zh-CN"/>
        </w:rPr>
        <w:t xml:space="preserve"> 0 5 </w:t>
      </w:r>
      <w:r>
        <w:rPr>
          <w:color w:val="auto"/>
          <w:spacing w:val="-35"/>
          <w:sz w:val="21"/>
          <w:highlight w:val="none"/>
        </w:rPr>
        <w:t>月</w:t>
      </w:r>
      <w:r>
        <w:rPr>
          <w:rFonts w:hint="eastAsia"/>
          <w:color w:val="auto"/>
          <w:spacing w:val="-35"/>
          <w:sz w:val="21"/>
          <w:highlight w:val="none"/>
          <w:lang w:val="en-US" w:eastAsia="zh-CN"/>
        </w:rPr>
        <w:t xml:space="preserve"> 1 0 </w:t>
      </w:r>
      <w:r>
        <w:rPr>
          <w:color w:val="auto"/>
          <w:spacing w:val="-28"/>
          <w:sz w:val="21"/>
          <w:highlight w:val="none"/>
        </w:rPr>
        <w:t xml:space="preserve">日至 </w:t>
      </w:r>
      <w:r>
        <w:rPr>
          <w:color w:val="auto"/>
          <w:sz w:val="21"/>
          <w:highlight w:val="none"/>
        </w:rPr>
        <w:t>2019</w:t>
      </w:r>
      <w:r>
        <w:rPr>
          <w:color w:val="auto"/>
          <w:spacing w:val="-37"/>
          <w:sz w:val="21"/>
          <w:highlight w:val="none"/>
        </w:rPr>
        <w:t xml:space="preserve"> 年 </w:t>
      </w:r>
      <w:r>
        <w:rPr>
          <w:rFonts w:hint="eastAsia"/>
          <w:color w:val="auto"/>
          <w:sz w:val="21"/>
          <w:highlight w:val="none"/>
          <w:lang w:val="en-US" w:eastAsia="zh-CN"/>
        </w:rPr>
        <w:t>0 5</w:t>
      </w:r>
      <w:r>
        <w:rPr>
          <w:color w:val="auto"/>
          <w:spacing w:val="-36"/>
          <w:sz w:val="21"/>
          <w:highlight w:val="none"/>
        </w:rPr>
        <w:t xml:space="preserve"> 月 </w:t>
      </w:r>
      <w:r>
        <w:rPr>
          <w:rFonts w:hint="eastAsia"/>
          <w:color w:val="auto"/>
          <w:spacing w:val="-36"/>
          <w:sz w:val="21"/>
          <w:highlight w:val="none"/>
          <w:lang w:val="en-US" w:eastAsia="zh-CN"/>
        </w:rPr>
        <w:t xml:space="preserve">1 6  </w:t>
      </w:r>
      <w:r>
        <w:rPr>
          <w:color w:val="auto"/>
          <w:spacing w:val="-8"/>
          <w:sz w:val="21"/>
          <w:highlight w:val="none"/>
        </w:rPr>
        <w:t>日，投标人未按规定在网上下载招标文件的，其投标将被拒绝。</w:t>
      </w:r>
    </w:p>
    <w:p>
      <w:pPr>
        <w:pStyle w:val="10"/>
        <w:numPr>
          <w:ilvl w:val="0"/>
          <w:numId w:val="1"/>
        </w:numPr>
        <w:tabs>
          <w:tab w:val="left" w:pos="868"/>
        </w:tabs>
        <w:spacing w:before="0" w:after="0" w:line="269" w:lineRule="exact"/>
        <w:ind w:left="868" w:right="0" w:hanging="317"/>
        <w:jc w:val="both"/>
        <w:rPr>
          <w:b/>
          <w:color w:val="auto"/>
          <w:sz w:val="21"/>
          <w:highlight w:val="none"/>
        </w:rPr>
      </w:pPr>
      <w:bookmarkStart w:id="4" w:name="6. 投标文件的递交"/>
      <w:bookmarkEnd w:id="4"/>
      <w:r>
        <w:rPr>
          <w:b/>
          <w:color w:val="auto"/>
          <w:sz w:val="21"/>
          <w:highlight w:val="none"/>
        </w:rPr>
        <w:t>投标文件的递交</w:t>
      </w:r>
    </w:p>
    <w:p>
      <w:pPr>
        <w:pStyle w:val="3"/>
        <w:spacing w:before="6"/>
        <w:rPr>
          <w:b/>
          <w:color w:val="auto"/>
          <w:sz w:val="15"/>
          <w:highlight w:val="none"/>
        </w:rPr>
      </w:pPr>
    </w:p>
    <w:p>
      <w:pPr>
        <w:pStyle w:val="10"/>
        <w:numPr>
          <w:ilvl w:val="1"/>
          <w:numId w:val="1"/>
        </w:numPr>
        <w:tabs>
          <w:tab w:val="left" w:pos="1392"/>
        </w:tabs>
        <w:spacing w:before="0" w:after="0" w:line="417" w:lineRule="auto"/>
        <w:ind w:left="1391" w:right="715" w:hanging="420"/>
        <w:jc w:val="both"/>
        <w:rPr>
          <w:color w:val="auto"/>
          <w:sz w:val="21"/>
          <w:highlight w:val="none"/>
        </w:rPr>
      </w:pPr>
      <w:r>
        <w:rPr>
          <w:color w:val="auto"/>
          <w:w w:val="95"/>
          <w:sz w:val="21"/>
          <w:highlight w:val="none"/>
        </w:rPr>
        <w:t>投标人须在投标截止时间前在河南省公共资源交易中心交易系统中上传加密电子投标文</w:t>
      </w:r>
      <w:r>
        <w:rPr>
          <w:color w:val="auto"/>
          <w:sz w:val="21"/>
          <w:highlight w:val="none"/>
        </w:rPr>
        <w:t>件加密电子投标文件逾期上传的，</w:t>
      </w:r>
      <w:r>
        <w:rPr>
          <w:rFonts w:hint="eastAsia"/>
          <w:color w:val="auto"/>
          <w:sz w:val="21"/>
          <w:highlight w:val="none"/>
          <w:lang w:eastAsia="zh-CN"/>
        </w:rPr>
        <w:t>采购人</w:t>
      </w:r>
      <w:r>
        <w:rPr>
          <w:color w:val="auto"/>
          <w:sz w:val="21"/>
          <w:highlight w:val="none"/>
        </w:rPr>
        <w:t>不予受理。</w:t>
      </w:r>
    </w:p>
    <w:p>
      <w:pPr>
        <w:pStyle w:val="10"/>
        <w:numPr>
          <w:ilvl w:val="1"/>
          <w:numId w:val="1"/>
        </w:numPr>
        <w:tabs>
          <w:tab w:val="left" w:pos="1392"/>
        </w:tabs>
        <w:spacing w:before="0" w:after="0" w:line="269" w:lineRule="exact"/>
        <w:ind w:left="1391" w:right="0" w:hanging="421"/>
        <w:jc w:val="both"/>
        <w:rPr>
          <w:color w:val="auto"/>
          <w:sz w:val="21"/>
          <w:highlight w:val="none"/>
        </w:rPr>
      </w:pPr>
      <w:r>
        <w:rPr>
          <w:color w:val="auto"/>
          <w:sz w:val="21"/>
          <w:highlight w:val="none"/>
        </w:rPr>
        <w:t>投标文件的递交截至时间（投标截至时间）</w:t>
      </w:r>
      <w:r>
        <w:rPr>
          <w:color w:val="auto"/>
          <w:spacing w:val="-26"/>
          <w:sz w:val="21"/>
          <w:highlight w:val="none"/>
        </w:rPr>
        <w:t xml:space="preserve">为 </w:t>
      </w:r>
      <w:r>
        <w:rPr>
          <w:color w:val="auto"/>
          <w:sz w:val="21"/>
          <w:highlight w:val="none"/>
        </w:rPr>
        <w:t>2019</w:t>
      </w:r>
      <w:r>
        <w:rPr>
          <w:color w:val="auto"/>
          <w:spacing w:val="-36"/>
          <w:sz w:val="21"/>
          <w:highlight w:val="none"/>
        </w:rPr>
        <w:t xml:space="preserve"> 年</w:t>
      </w:r>
      <w:r>
        <w:rPr>
          <w:rFonts w:hint="eastAsia"/>
          <w:color w:val="auto"/>
          <w:spacing w:val="-36"/>
          <w:sz w:val="21"/>
          <w:highlight w:val="none"/>
          <w:lang w:val="en-US" w:eastAsia="zh-CN"/>
        </w:rPr>
        <w:t xml:space="preserve"> 5 </w:t>
      </w:r>
      <w:r>
        <w:rPr>
          <w:color w:val="auto"/>
          <w:spacing w:val="-36"/>
          <w:sz w:val="21"/>
          <w:highlight w:val="none"/>
        </w:rPr>
        <w:t>月</w:t>
      </w:r>
      <w:r>
        <w:rPr>
          <w:rFonts w:hint="eastAsia"/>
          <w:color w:val="auto"/>
          <w:spacing w:val="-36"/>
          <w:sz w:val="21"/>
          <w:highlight w:val="none"/>
          <w:lang w:val="en-US" w:eastAsia="zh-CN"/>
        </w:rPr>
        <w:t xml:space="preserve"> 3 1 </w:t>
      </w:r>
      <w:r>
        <w:rPr>
          <w:color w:val="auto"/>
          <w:spacing w:val="-22"/>
          <w:sz w:val="21"/>
          <w:highlight w:val="none"/>
        </w:rPr>
        <w:t xml:space="preserve">日上午 </w:t>
      </w:r>
      <w:r>
        <w:rPr>
          <w:color w:val="auto"/>
          <w:sz w:val="21"/>
          <w:highlight w:val="none"/>
        </w:rPr>
        <w:t>10:30</w:t>
      </w:r>
      <w:r>
        <w:rPr>
          <w:color w:val="auto"/>
          <w:spacing w:val="-18"/>
          <w:sz w:val="21"/>
          <w:highlight w:val="none"/>
        </w:rPr>
        <w:t xml:space="preserve"> 分；</w:t>
      </w:r>
    </w:p>
    <w:p>
      <w:pPr>
        <w:pStyle w:val="3"/>
        <w:spacing w:before="7"/>
        <w:rPr>
          <w:color w:val="auto"/>
          <w:sz w:val="15"/>
          <w:highlight w:val="none"/>
        </w:rPr>
      </w:pPr>
    </w:p>
    <w:p>
      <w:pPr>
        <w:pStyle w:val="10"/>
        <w:numPr>
          <w:ilvl w:val="1"/>
          <w:numId w:val="1"/>
        </w:numPr>
        <w:tabs>
          <w:tab w:val="left" w:pos="1392"/>
        </w:tabs>
        <w:spacing w:before="0" w:after="0" w:line="240" w:lineRule="auto"/>
        <w:ind w:left="1391" w:right="0" w:hanging="421"/>
        <w:jc w:val="both"/>
        <w:rPr>
          <w:color w:val="auto"/>
          <w:sz w:val="21"/>
          <w:highlight w:val="none"/>
        </w:rPr>
      </w:pPr>
      <w:r>
        <w:rPr>
          <w:color w:val="auto"/>
          <w:sz w:val="21"/>
          <w:highlight w:val="none"/>
        </w:rPr>
        <w:t>开标地点：河南省公共资源交易中心远程开标室(一)-</w:t>
      </w:r>
      <w:r>
        <w:rPr>
          <w:rFonts w:hint="eastAsia"/>
          <w:color w:val="auto"/>
          <w:sz w:val="21"/>
          <w:highlight w:val="none"/>
          <w:lang w:val="en-US" w:eastAsia="zh-CN"/>
        </w:rPr>
        <w:t xml:space="preserve"> 5 </w:t>
      </w:r>
    </w:p>
    <w:p>
      <w:pPr>
        <w:pStyle w:val="3"/>
        <w:spacing w:before="6"/>
        <w:rPr>
          <w:color w:val="auto"/>
          <w:sz w:val="15"/>
          <w:highlight w:val="none"/>
        </w:rPr>
      </w:pPr>
    </w:p>
    <w:p>
      <w:pPr>
        <w:pStyle w:val="10"/>
        <w:numPr>
          <w:ilvl w:val="1"/>
          <w:numId w:val="1"/>
        </w:numPr>
        <w:tabs>
          <w:tab w:val="left" w:pos="1392"/>
        </w:tabs>
        <w:spacing w:before="1" w:after="0" w:line="417" w:lineRule="auto"/>
        <w:ind w:left="551" w:right="710" w:firstLine="420"/>
        <w:jc w:val="both"/>
        <w:rPr>
          <w:color w:val="auto"/>
          <w:sz w:val="21"/>
          <w:highlight w:val="none"/>
        </w:rPr>
      </w:pPr>
      <w:r>
        <w:rPr>
          <w:color w:val="auto"/>
          <w:spacing w:val="-8"/>
          <w:w w:val="95"/>
          <w:sz w:val="21"/>
          <w:highlight w:val="none"/>
        </w:rPr>
        <w:t>本项目采用“远程不见面”开标方式，远程开标大厅网址为</w:t>
      </w:r>
      <w:r>
        <w:rPr>
          <w:color w:val="auto"/>
          <w:w w:val="95"/>
          <w:sz w:val="21"/>
          <w:highlight w:val="none"/>
        </w:rPr>
        <w:t>（</w:t>
      </w:r>
      <w:r>
        <w:rPr>
          <w:color w:val="auto"/>
          <w:highlight w:val="none"/>
        </w:rPr>
        <w:fldChar w:fldCharType="begin"/>
      </w:r>
      <w:r>
        <w:rPr>
          <w:color w:val="auto"/>
          <w:highlight w:val="none"/>
        </w:rPr>
        <w:instrText xml:space="preserve"> HYPERLINK "http://www.hnggzyjy.cn/" \h </w:instrText>
      </w:r>
      <w:r>
        <w:rPr>
          <w:color w:val="auto"/>
          <w:highlight w:val="none"/>
        </w:rPr>
        <w:fldChar w:fldCharType="separate"/>
      </w:r>
      <w:r>
        <w:rPr>
          <w:color w:val="auto"/>
          <w:w w:val="95"/>
          <w:sz w:val="21"/>
          <w:highlight w:val="none"/>
        </w:rPr>
        <w:t>www.hnggzyjy.cn</w:t>
      </w:r>
      <w:r>
        <w:rPr>
          <w:color w:val="auto"/>
          <w:w w:val="95"/>
          <w:sz w:val="21"/>
          <w:highlight w:val="none"/>
        </w:rPr>
        <w:fldChar w:fldCharType="end"/>
      </w:r>
      <w:r>
        <w:rPr>
          <w:color w:val="auto"/>
          <w:w w:val="95"/>
          <w:sz w:val="21"/>
          <w:highlight w:val="none"/>
        </w:rPr>
        <w:t>），投标人无需到河南省公共资源交易中心现场参加开标会议，无需到达现场提交原件资料。投标人应当在投标截止时间前，登录远程开标大厅，在线准时参加开标活动并进行文件解密、答疑澄清等。</w:t>
      </w:r>
      <w:r>
        <w:rPr>
          <w:color w:val="auto"/>
          <w:sz w:val="21"/>
          <w:highlight w:val="none"/>
        </w:rPr>
        <w:t>在规定时间内投标文件未解密的投标人，视为放弃投标。</w:t>
      </w:r>
    </w:p>
    <w:p>
      <w:pPr>
        <w:pStyle w:val="10"/>
        <w:numPr>
          <w:ilvl w:val="1"/>
          <w:numId w:val="1"/>
        </w:numPr>
        <w:tabs>
          <w:tab w:val="left" w:pos="1339"/>
        </w:tabs>
        <w:spacing w:before="0" w:after="0" w:line="417" w:lineRule="auto"/>
        <w:ind w:left="551" w:right="608" w:firstLine="420"/>
        <w:jc w:val="left"/>
        <w:rPr>
          <w:color w:val="auto"/>
          <w:sz w:val="21"/>
          <w:highlight w:val="none"/>
        </w:rPr>
      </w:pPr>
      <w:bookmarkStart w:id="5" w:name="6.5投标人编制投标文件时，涉及营业执照、资质、业绩、获奖、人员、财务、社保、纳"/>
      <w:bookmarkEnd w:id="5"/>
      <w:r>
        <w:rPr>
          <w:color w:val="auto"/>
          <w:spacing w:val="-6"/>
          <w:w w:val="95"/>
          <w:sz w:val="21"/>
          <w:highlight w:val="none"/>
        </w:rPr>
        <w:t>投标人编制投标文件时，涉及营业执照、资质、业绩、获奖、人员、财务、社保、纳税、</w:t>
      </w:r>
      <w:r>
        <w:rPr>
          <w:color w:val="auto"/>
          <w:spacing w:val="-6"/>
          <w:sz w:val="21"/>
          <w:highlight w:val="none"/>
        </w:rPr>
        <w:t>各类证书等内容，必须在市场主体信息库中已登记的信息中选取。投标单位提供（营业执照、开</w:t>
      </w:r>
      <w:r>
        <w:rPr>
          <w:color w:val="auto"/>
          <w:spacing w:val="-7"/>
          <w:sz w:val="21"/>
          <w:highlight w:val="none"/>
        </w:rPr>
        <w:t>户许可证、安全生产许可证</w:t>
      </w:r>
      <w:r>
        <w:rPr>
          <w:color w:val="auto"/>
          <w:spacing w:val="-20"/>
          <w:sz w:val="21"/>
          <w:highlight w:val="none"/>
        </w:rPr>
        <w:t>）</w:t>
      </w:r>
      <w:r>
        <w:rPr>
          <w:color w:val="auto"/>
          <w:spacing w:val="-6"/>
          <w:sz w:val="21"/>
          <w:highlight w:val="none"/>
        </w:rPr>
        <w:t>等基本信息扫描件时，请在主体信息库“其他投标所需材料 ”中录入上传后重新同步获取。未在市场主体信息库中登记的上述内容，不作为评标依据。投标人应及时对市场主体信息库的相关内容进行补充、更新。</w:t>
      </w:r>
    </w:p>
    <w:p>
      <w:pPr>
        <w:pStyle w:val="10"/>
        <w:numPr>
          <w:ilvl w:val="1"/>
          <w:numId w:val="1"/>
        </w:numPr>
        <w:tabs>
          <w:tab w:val="left" w:pos="1339"/>
        </w:tabs>
        <w:spacing w:before="0" w:after="0" w:line="417" w:lineRule="auto"/>
        <w:ind w:left="551" w:right="712" w:firstLine="420"/>
        <w:jc w:val="left"/>
        <w:rPr>
          <w:color w:val="auto"/>
          <w:sz w:val="21"/>
          <w:highlight w:val="none"/>
        </w:rPr>
      </w:pPr>
      <w:r>
        <w:rPr>
          <w:color w:val="auto"/>
          <w:spacing w:val="-3"/>
          <w:sz w:val="21"/>
          <w:highlight w:val="none"/>
        </w:rPr>
        <w:t>不见面服务的具体事宜请查阅河南省公共资源交易中心网站“公共服务-办事指南”专区的《河南省公共资源交易平台不见面服务系统使用指南》。</w:t>
      </w:r>
    </w:p>
    <w:p>
      <w:pPr>
        <w:pStyle w:val="10"/>
        <w:numPr>
          <w:ilvl w:val="0"/>
          <w:numId w:val="1"/>
        </w:numPr>
        <w:tabs>
          <w:tab w:val="left" w:pos="868"/>
        </w:tabs>
        <w:spacing w:before="0" w:after="0" w:line="269" w:lineRule="exact"/>
        <w:ind w:left="868" w:right="0" w:hanging="317"/>
        <w:jc w:val="left"/>
        <w:rPr>
          <w:b/>
          <w:color w:val="auto"/>
          <w:sz w:val="21"/>
          <w:highlight w:val="none"/>
        </w:rPr>
      </w:pPr>
      <w:bookmarkStart w:id="6" w:name="7. 招标公告发布媒介"/>
      <w:bookmarkEnd w:id="6"/>
      <w:r>
        <w:rPr>
          <w:b/>
          <w:color w:val="auto"/>
          <w:sz w:val="21"/>
          <w:highlight w:val="none"/>
        </w:rPr>
        <w:t>招标公告发布媒介</w:t>
      </w:r>
    </w:p>
    <w:p>
      <w:pPr>
        <w:pStyle w:val="3"/>
        <w:spacing w:before="4"/>
        <w:rPr>
          <w:b/>
          <w:color w:val="auto"/>
          <w:sz w:val="15"/>
          <w:highlight w:val="none"/>
        </w:rPr>
      </w:pPr>
    </w:p>
    <w:p>
      <w:pPr>
        <w:pStyle w:val="3"/>
        <w:ind w:left="971"/>
        <w:rPr>
          <w:color w:val="auto"/>
          <w:highlight w:val="none"/>
        </w:rPr>
      </w:pPr>
      <w:r>
        <w:rPr>
          <w:color w:val="auto"/>
          <w:highlight w:val="none"/>
        </w:rPr>
        <w:t>本次招标公告同时在</w:t>
      </w:r>
      <w:r>
        <w:rPr>
          <w:rFonts w:hint="eastAsia"/>
          <w:color w:val="auto"/>
          <w:highlight w:val="none"/>
        </w:rPr>
        <w:t>《中国招标投标公共服务平台》、</w:t>
      </w:r>
      <w:r>
        <w:rPr>
          <w:color w:val="auto"/>
          <w:highlight w:val="none"/>
        </w:rPr>
        <w:t>《河南省公共资源交易中心网》、</w:t>
      </w:r>
    </w:p>
    <w:p>
      <w:pPr>
        <w:pStyle w:val="3"/>
        <w:ind w:left="971"/>
        <w:rPr>
          <w:color w:val="auto"/>
          <w:highlight w:val="none"/>
        </w:rPr>
      </w:pPr>
    </w:p>
    <w:p>
      <w:pPr>
        <w:pStyle w:val="3"/>
        <w:ind w:left="971"/>
        <w:rPr>
          <w:color w:val="auto"/>
          <w:highlight w:val="none"/>
        </w:rPr>
      </w:pPr>
      <w:r>
        <w:rPr>
          <w:color w:val="auto"/>
          <w:highlight w:val="none"/>
        </w:rPr>
        <w:t>《河南省政府采购网》上发布。</w:t>
      </w:r>
    </w:p>
    <w:p>
      <w:pPr>
        <w:pStyle w:val="3"/>
        <w:spacing w:before="7"/>
        <w:rPr>
          <w:color w:val="auto"/>
          <w:sz w:val="15"/>
          <w:highlight w:val="none"/>
        </w:rPr>
      </w:pPr>
    </w:p>
    <w:p>
      <w:pPr>
        <w:pStyle w:val="10"/>
        <w:numPr>
          <w:ilvl w:val="0"/>
          <w:numId w:val="1"/>
        </w:numPr>
        <w:tabs>
          <w:tab w:val="left" w:pos="868"/>
        </w:tabs>
        <w:spacing w:before="0" w:after="0" w:line="240" w:lineRule="auto"/>
        <w:ind w:left="868" w:right="0" w:hanging="317"/>
        <w:jc w:val="left"/>
        <w:rPr>
          <w:b/>
          <w:color w:val="auto"/>
          <w:sz w:val="21"/>
          <w:highlight w:val="none"/>
        </w:rPr>
      </w:pPr>
      <w:bookmarkStart w:id="7" w:name="8. 联系方式"/>
      <w:bookmarkEnd w:id="7"/>
      <w:r>
        <w:rPr>
          <w:b/>
          <w:color w:val="auto"/>
          <w:sz w:val="21"/>
          <w:highlight w:val="none"/>
        </w:rPr>
        <w:t>联系方式</w:t>
      </w:r>
    </w:p>
    <w:p>
      <w:pPr>
        <w:pStyle w:val="3"/>
        <w:spacing w:before="7"/>
        <w:rPr>
          <w:b/>
          <w:color w:val="auto"/>
          <w:sz w:val="15"/>
          <w:highlight w:val="none"/>
        </w:rPr>
      </w:pPr>
    </w:p>
    <w:p>
      <w:pPr>
        <w:pStyle w:val="3"/>
        <w:ind w:left="971"/>
        <w:rPr>
          <w:rFonts w:hint="eastAsia"/>
          <w:color w:val="auto"/>
          <w:highlight w:val="none"/>
        </w:rPr>
      </w:pPr>
      <w:r>
        <w:rPr>
          <w:rFonts w:hint="eastAsia"/>
          <w:color w:val="auto"/>
          <w:highlight w:val="none"/>
          <w:lang w:eastAsia="zh-CN"/>
        </w:rPr>
        <w:t>采</w:t>
      </w:r>
      <w:r>
        <w:rPr>
          <w:rFonts w:hint="eastAsia"/>
          <w:color w:val="auto"/>
          <w:highlight w:val="none"/>
          <w:lang w:val="en-US" w:eastAsia="zh-CN"/>
        </w:rPr>
        <w:t xml:space="preserve">     </w:t>
      </w:r>
      <w:r>
        <w:rPr>
          <w:rFonts w:hint="eastAsia"/>
          <w:color w:val="auto"/>
          <w:highlight w:val="none"/>
          <w:lang w:eastAsia="zh-CN"/>
        </w:rPr>
        <w:t>购</w:t>
      </w:r>
      <w:r>
        <w:rPr>
          <w:rFonts w:hint="eastAsia"/>
          <w:color w:val="auto"/>
          <w:highlight w:val="none"/>
        </w:rPr>
        <w:t xml:space="preserve">  人：</w:t>
      </w:r>
      <w:r>
        <w:rPr>
          <w:rFonts w:hint="eastAsia"/>
          <w:color w:val="auto"/>
          <w:highlight w:val="none"/>
          <w:lang w:eastAsia="zh-CN"/>
        </w:rPr>
        <w:t>河南理工大学</w:t>
      </w:r>
      <w:r>
        <w:rPr>
          <w:rFonts w:hint="eastAsia"/>
          <w:color w:val="auto"/>
          <w:highlight w:val="none"/>
        </w:rPr>
        <w:t xml:space="preserve">   </w:t>
      </w:r>
    </w:p>
    <w:p>
      <w:pPr>
        <w:pStyle w:val="3"/>
        <w:ind w:left="971"/>
        <w:rPr>
          <w:rFonts w:hint="eastAsia"/>
          <w:color w:val="auto"/>
          <w:highlight w:val="none"/>
        </w:rPr>
      </w:pPr>
    </w:p>
    <w:p>
      <w:pPr>
        <w:pStyle w:val="3"/>
        <w:ind w:left="971"/>
        <w:rPr>
          <w:rFonts w:hint="eastAsia"/>
          <w:color w:val="auto"/>
          <w:highlight w:val="none"/>
          <w:lang w:eastAsia="zh-CN"/>
        </w:rPr>
      </w:pPr>
      <w:r>
        <w:rPr>
          <w:rFonts w:hint="eastAsia"/>
          <w:color w:val="auto"/>
          <w:highlight w:val="none"/>
        </w:rPr>
        <w:t>地        址：</w:t>
      </w:r>
      <w:r>
        <w:rPr>
          <w:rFonts w:hint="eastAsia"/>
          <w:color w:val="auto"/>
          <w:highlight w:val="none"/>
          <w:lang w:eastAsia="zh-CN"/>
        </w:rPr>
        <w:t>河南省焦作市高新区世纪大道 2001 号</w:t>
      </w:r>
    </w:p>
    <w:p>
      <w:pPr>
        <w:pStyle w:val="3"/>
        <w:ind w:left="971"/>
        <w:rPr>
          <w:rFonts w:hint="eastAsia"/>
          <w:color w:val="auto"/>
          <w:highlight w:val="none"/>
          <w:lang w:eastAsia="zh-CN"/>
        </w:rPr>
      </w:pPr>
    </w:p>
    <w:p>
      <w:pPr>
        <w:pStyle w:val="3"/>
        <w:ind w:left="971"/>
        <w:rPr>
          <w:rFonts w:hint="eastAsia"/>
          <w:color w:val="auto"/>
          <w:highlight w:val="none"/>
        </w:rPr>
      </w:pPr>
      <w:r>
        <w:rPr>
          <w:rFonts w:hint="eastAsia"/>
          <w:color w:val="auto"/>
          <w:highlight w:val="none"/>
        </w:rPr>
        <w:t>联    系  人：</w:t>
      </w:r>
      <w:r>
        <w:rPr>
          <w:rFonts w:hint="eastAsia"/>
          <w:color w:val="auto"/>
          <w:highlight w:val="none"/>
          <w:lang w:eastAsia="zh-CN"/>
        </w:rPr>
        <w:t>朱</w:t>
      </w:r>
      <w:r>
        <w:rPr>
          <w:rFonts w:hint="eastAsia"/>
          <w:color w:val="auto"/>
          <w:highlight w:val="none"/>
        </w:rPr>
        <w:t>老师</w:t>
      </w:r>
    </w:p>
    <w:p>
      <w:pPr>
        <w:pStyle w:val="3"/>
        <w:ind w:left="971"/>
        <w:rPr>
          <w:rFonts w:hint="eastAsia"/>
          <w:color w:val="auto"/>
          <w:highlight w:val="none"/>
        </w:rPr>
      </w:pPr>
    </w:p>
    <w:p>
      <w:pPr>
        <w:pStyle w:val="3"/>
        <w:ind w:left="971"/>
        <w:rPr>
          <w:rFonts w:hint="eastAsia"/>
          <w:color w:val="auto"/>
          <w:highlight w:val="none"/>
          <w:lang w:val="en-US" w:eastAsia="zh-CN"/>
        </w:rPr>
      </w:pPr>
      <w:r>
        <w:rPr>
          <w:rFonts w:hint="eastAsia"/>
          <w:color w:val="auto"/>
          <w:highlight w:val="none"/>
        </w:rPr>
        <w:t>电        话：03</w:t>
      </w:r>
      <w:r>
        <w:rPr>
          <w:rFonts w:hint="eastAsia"/>
          <w:color w:val="auto"/>
          <w:highlight w:val="none"/>
          <w:lang w:val="en-US" w:eastAsia="zh-CN"/>
        </w:rPr>
        <w:t>91-3987286</w:t>
      </w:r>
    </w:p>
    <w:p>
      <w:pPr>
        <w:pStyle w:val="3"/>
        <w:ind w:left="971"/>
        <w:rPr>
          <w:rFonts w:hint="eastAsia"/>
          <w:color w:val="auto"/>
          <w:highlight w:val="none"/>
          <w:lang w:val="en-US" w:eastAsia="zh-CN"/>
        </w:rPr>
      </w:pPr>
    </w:p>
    <w:p>
      <w:pPr>
        <w:pStyle w:val="3"/>
        <w:ind w:left="971"/>
        <w:rPr>
          <w:rFonts w:hint="eastAsia"/>
          <w:color w:val="auto"/>
          <w:highlight w:val="none"/>
        </w:rPr>
      </w:pPr>
      <w:r>
        <w:rPr>
          <w:rFonts w:hint="eastAsia"/>
          <w:color w:val="auto"/>
          <w:highlight w:val="none"/>
        </w:rPr>
        <w:t xml:space="preserve">招标代理机构：河南省鑫诚工程管理有限公司 </w:t>
      </w:r>
    </w:p>
    <w:p>
      <w:pPr>
        <w:pStyle w:val="3"/>
        <w:ind w:left="971"/>
        <w:rPr>
          <w:rFonts w:hint="eastAsia"/>
          <w:color w:val="auto"/>
          <w:highlight w:val="none"/>
        </w:rPr>
      </w:pPr>
    </w:p>
    <w:p>
      <w:pPr>
        <w:pStyle w:val="3"/>
        <w:ind w:left="971"/>
        <w:rPr>
          <w:rFonts w:hint="eastAsia"/>
          <w:color w:val="auto"/>
          <w:highlight w:val="none"/>
        </w:rPr>
      </w:pPr>
      <w:r>
        <w:rPr>
          <w:rFonts w:hint="eastAsia"/>
          <w:color w:val="auto"/>
          <w:highlight w:val="none"/>
        </w:rPr>
        <w:t xml:space="preserve">地        址：郑州市优胜南路26号国奥大厦22层 </w:t>
      </w:r>
    </w:p>
    <w:p>
      <w:pPr>
        <w:pStyle w:val="3"/>
        <w:ind w:left="971"/>
        <w:rPr>
          <w:rFonts w:hint="eastAsia"/>
          <w:color w:val="auto"/>
          <w:highlight w:val="none"/>
        </w:rPr>
      </w:pPr>
    </w:p>
    <w:p>
      <w:pPr>
        <w:pStyle w:val="3"/>
        <w:ind w:left="971"/>
        <w:rPr>
          <w:rFonts w:hint="eastAsia"/>
          <w:color w:val="auto"/>
          <w:highlight w:val="none"/>
        </w:rPr>
      </w:pPr>
      <w:r>
        <w:rPr>
          <w:rFonts w:hint="eastAsia"/>
          <w:color w:val="auto"/>
          <w:highlight w:val="none"/>
        </w:rPr>
        <w:t>联   系   人：</w:t>
      </w:r>
      <w:r>
        <w:rPr>
          <w:rFonts w:hint="eastAsia"/>
          <w:color w:val="auto"/>
          <w:highlight w:val="none"/>
          <w:lang w:eastAsia="zh-CN"/>
        </w:rPr>
        <w:t>白</w:t>
      </w:r>
      <w:r>
        <w:rPr>
          <w:rFonts w:hint="eastAsia"/>
          <w:color w:val="auto"/>
          <w:highlight w:val="none"/>
        </w:rPr>
        <w:t xml:space="preserve">先生 </w:t>
      </w:r>
    </w:p>
    <w:p>
      <w:pPr>
        <w:pStyle w:val="3"/>
        <w:ind w:left="971"/>
        <w:rPr>
          <w:rFonts w:hint="eastAsia"/>
          <w:color w:val="auto"/>
          <w:highlight w:val="none"/>
        </w:rPr>
      </w:pPr>
    </w:p>
    <w:p>
      <w:pPr>
        <w:pStyle w:val="3"/>
        <w:ind w:left="971"/>
        <w:rPr>
          <w:rFonts w:hint="eastAsia"/>
          <w:color w:val="auto"/>
          <w:highlight w:val="none"/>
        </w:rPr>
      </w:pPr>
      <w:r>
        <w:rPr>
          <w:rFonts w:hint="eastAsia"/>
          <w:color w:val="auto"/>
          <w:highlight w:val="none"/>
        </w:rPr>
        <w:t>电        话：</w:t>
      </w:r>
      <w:r>
        <w:rPr>
          <w:rFonts w:hint="eastAsia"/>
          <w:color w:val="auto"/>
          <w:highlight w:val="none"/>
          <w:lang w:val="en-US" w:eastAsia="zh-CN"/>
        </w:rPr>
        <w:t>1839120007</w:t>
      </w:r>
      <w:r>
        <w:rPr>
          <w:rFonts w:hint="eastAsia"/>
          <w:color w:val="auto"/>
          <w:highlight w:val="none"/>
        </w:rPr>
        <w:t xml:space="preserve"> </w:t>
      </w:r>
    </w:p>
    <w:p>
      <w:pPr>
        <w:pStyle w:val="3"/>
        <w:ind w:left="971"/>
        <w:rPr>
          <w:rFonts w:hint="eastAsia"/>
          <w:color w:val="auto"/>
          <w:highlight w:val="none"/>
        </w:rPr>
      </w:pPr>
    </w:p>
    <w:p>
      <w:pPr>
        <w:pStyle w:val="3"/>
        <w:ind w:left="971"/>
        <w:rPr>
          <w:rFonts w:hint="eastAsia"/>
          <w:color w:val="auto"/>
          <w:highlight w:val="none"/>
        </w:rPr>
      </w:pPr>
      <w:r>
        <w:rPr>
          <w:rFonts w:hint="eastAsia"/>
          <w:color w:val="auto"/>
          <w:highlight w:val="none"/>
        </w:rPr>
        <w:t>电 子  邮 件：</w:t>
      </w:r>
      <w:r>
        <w:rPr>
          <w:rFonts w:hint="eastAsia"/>
          <w:color w:val="auto"/>
          <w:highlight w:val="none"/>
        </w:rPr>
        <w:fldChar w:fldCharType="begin" w:fldLock="1"/>
      </w:r>
      <w:r>
        <w:rPr>
          <w:rFonts w:hint="eastAsia"/>
          <w:color w:val="auto"/>
          <w:highlight w:val="none"/>
        </w:rPr>
        <w:instrText xml:space="preserve"> HYPERLINK \l "mailto:junxun14@163.com" </w:instrText>
      </w:r>
      <w:r>
        <w:rPr>
          <w:rFonts w:hint="eastAsia"/>
          <w:color w:val="auto"/>
          <w:highlight w:val="none"/>
        </w:rPr>
        <w:fldChar w:fldCharType="separate"/>
      </w:r>
      <w:r>
        <w:rPr>
          <w:rFonts w:hint="eastAsia"/>
          <w:color w:val="auto"/>
          <w:highlight w:val="none"/>
          <w:lang w:val="en-US" w:eastAsia="zh-CN"/>
        </w:rPr>
        <w:t>370810472@qq.</w:t>
      </w:r>
      <w:r>
        <w:rPr>
          <w:rFonts w:hint="eastAsia"/>
          <w:color w:val="auto"/>
          <w:highlight w:val="none"/>
        </w:rPr>
        <w:t>.com</w:t>
      </w:r>
      <w:r>
        <w:rPr>
          <w:rFonts w:hint="eastAsia"/>
          <w:color w:val="auto"/>
          <w:highlight w:val="none"/>
        </w:rPr>
        <w:fldChar w:fldCharType="end"/>
      </w:r>
    </w:p>
    <w:p>
      <w:pPr>
        <w:pStyle w:val="3"/>
        <w:ind w:left="971"/>
        <w:rPr>
          <w:color w:val="auto"/>
          <w:highlight w:val="none"/>
        </w:rPr>
      </w:pPr>
    </w:p>
    <w:p>
      <w:pPr>
        <w:pStyle w:val="3"/>
        <w:spacing w:before="1" w:line="417" w:lineRule="auto"/>
        <w:ind w:left="6536" w:right="1449" w:hanging="840"/>
        <w:jc w:val="right"/>
        <w:rPr>
          <w:rFonts w:hint="eastAsia"/>
          <w:color w:val="auto"/>
          <w:highlight w:val="none"/>
          <w:lang w:eastAsia="zh-CN"/>
        </w:rPr>
      </w:pPr>
      <w:r>
        <w:rPr>
          <w:rFonts w:hint="eastAsia"/>
          <w:color w:val="auto"/>
          <w:highlight w:val="none"/>
          <w:lang w:eastAsia="zh-CN"/>
        </w:rPr>
        <w:t>河南省鑫诚工程管理有限公司</w:t>
      </w:r>
    </w:p>
    <w:p>
      <w:pPr>
        <w:pStyle w:val="3"/>
        <w:spacing w:before="1" w:line="417" w:lineRule="auto"/>
        <w:ind w:left="6536" w:right="1449" w:hanging="840"/>
        <w:jc w:val="right"/>
        <w:rPr>
          <w:rFonts w:hint="eastAsia" w:eastAsia="宋体"/>
          <w:color w:val="auto"/>
          <w:highlight w:val="none"/>
          <w:lang w:val="en-US" w:eastAsia="zh-CN"/>
        </w:rPr>
        <w:sectPr>
          <w:headerReference r:id="rId3" w:type="default"/>
          <w:footerReference r:id="rId4" w:type="default"/>
          <w:pgSz w:w="11910" w:h="16840"/>
          <w:pgMar w:top="1280" w:right="840" w:bottom="1220" w:left="980" w:header="878" w:footer="1012" w:gutter="0"/>
          <w:pgNumType w:fmt="chineseCounting"/>
          <w:cols w:space="720" w:num="1"/>
        </w:sectPr>
      </w:pPr>
      <w:r>
        <w:rPr>
          <w:color w:val="auto"/>
          <w:highlight w:val="none"/>
        </w:rPr>
        <w:t xml:space="preserve">2019 年 </w:t>
      </w:r>
      <w:r>
        <w:rPr>
          <w:rFonts w:hint="eastAsia"/>
          <w:color w:val="auto"/>
          <w:highlight w:val="none"/>
          <w:lang w:val="en-US" w:eastAsia="zh-CN"/>
        </w:rPr>
        <w:t xml:space="preserve">5 </w:t>
      </w:r>
      <w:r>
        <w:rPr>
          <w:color w:val="auto"/>
          <w:highlight w:val="none"/>
        </w:rPr>
        <w:t>月</w:t>
      </w:r>
      <w:r>
        <w:rPr>
          <w:rFonts w:hint="eastAsia"/>
          <w:color w:val="auto"/>
          <w:highlight w:val="none"/>
          <w:lang w:val="en-US" w:eastAsia="zh-CN"/>
        </w:rPr>
        <w:t xml:space="preserve">  9 日</w:t>
      </w:r>
    </w:p>
    <w:p/>
    <w:bookmarkEnd w:id="8"/>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ge">
                <wp:posOffset>9894570</wp:posOffset>
              </wp:positionV>
              <wp:extent cx="1163320" cy="17970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63320" cy="179705"/>
                      </a:xfrm>
                      <a:prstGeom prst="rect">
                        <a:avLst/>
                      </a:prstGeom>
                      <a:noFill/>
                      <a:ln>
                        <a:noFill/>
                      </a:ln>
                      <a:effectLst/>
                    </wps:spPr>
                    <wps:txbx>
                      <w:txbxContent>
                        <w:p>
                          <w:pPr>
                            <w:spacing w:before="19"/>
                            <w:ind w:left="40" w:right="0" w:firstLine="0"/>
                            <w:jc w:val="left"/>
                            <w:rPr>
                              <w:rFonts w:hint="eastAsia" w:ascii="Verdana" w:eastAsia="宋体"/>
                              <w:sz w:val="20"/>
                              <w:lang w:eastAsia="zh-CN"/>
                            </w:rPr>
                          </w:pPr>
                          <w:r>
                            <w:rPr>
                              <w:rFonts w:hint="eastAsia" w:ascii="Verdana"/>
                              <w:sz w:val="20"/>
                              <w:lang w:eastAsia="zh-CN"/>
                            </w:rPr>
                            <w:t xml:space="preserve">第 </w:t>
                          </w:r>
                          <w:r>
                            <w:rPr>
                              <w:rFonts w:hint="eastAsia" w:ascii="Verdana"/>
                              <w:sz w:val="20"/>
                              <w:lang w:eastAsia="zh-CN"/>
                            </w:rPr>
                            <w:fldChar w:fldCharType="begin"/>
                          </w:r>
                          <w:r>
                            <w:rPr>
                              <w:rFonts w:hint="eastAsia" w:ascii="Verdana"/>
                              <w:sz w:val="20"/>
                              <w:lang w:eastAsia="zh-CN"/>
                            </w:rPr>
                            <w:instrText xml:space="preserve"> PAGE  \* MERGEFORMAT </w:instrText>
                          </w:r>
                          <w:r>
                            <w:rPr>
                              <w:rFonts w:hint="eastAsia" w:ascii="Verdana"/>
                              <w:sz w:val="20"/>
                              <w:lang w:eastAsia="zh-CN"/>
                            </w:rPr>
                            <w:fldChar w:fldCharType="separate"/>
                          </w:r>
                          <w:r>
                            <w:rPr>
                              <w:rFonts w:hint="eastAsia" w:ascii="Verdana"/>
                              <w:sz w:val="20"/>
                              <w:lang w:eastAsia="zh-CN"/>
                            </w:rPr>
                            <w:t>一</w:t>
                          </w:r>
                          <w:r>
                            <w:rPr>
                              <w:rFonts w:hint="eastAsia" w:ascii="Verdana"/>
                              <w:sz w:val="20"/>
                              <w:lang w:eastAsia="zh-CN"/>
                            </w:rPr>
                            <w:fldChar w:fldCharType="end"/>
                          </w:r>
                          <w:r>
                            <w:rPr>
                              <w:rFonts w:hint="eastAsia" w:ascii="Verdana"/>
                              <w:sz w:val="20"/>
                              <w:lang w:eastAsia="zh-CN"/>
                            </w:rPr>
                            <w:t xml:space="preserve"> 页</w:t>
                          </w:r>
                        </w:p>
                      </w:txbxContent>
                    </wps:txbx>
                    <wps:bodyPr lIns="0" tIns="0" rIns="0" bIns="0" upright="1"/>
                  </wps:wsp>
                </a:graphicData>
              </a:graphic>
            </wp:anchor>
          </w:drawing>
        </mc:Choice>
        <mc:Fallback>
          <w:pict>
            <v:shape id="_x0000_s1026" o:spid="_x0000_s1026" o:spt="202" type="#_x0000_t202" style="position:absolute;left:0pt;margin-top:779.1pt;height:14.15pt;width:91.6pt;mso-position-horizontal:center;mso-position-horizontal-relative:margin;mso-position-vertical-relative:page;z-index:251667456;mso-width-relative:page;mso-height-relative:page;" filled="f" stroked="f" coordsize="21600,21600" o:gfxdata="UEsDBAoAAAAAAIdO4kAAAAAAAAAAAAAAAAAEAAAAZHJzL1BLAwQUAAAACACHTuJABrYcXtcAAAAK&#10;AQAADwAAAGRycy9kb3ducmV2LnhtbE2PT0+EMBDF7yZ+h2ZMvLll10AQKRtj9GRiZPHgsdBZaJZO&#10;kXb/+O0dTnqbeW/y5vfK7cWN4oRzsJ4UrFcJCKTOG0u9gs/m9S4HEaImo0dPqOAHA2yr66tSF8af&#10;qcbTLvaCQygUWsEQ41RIGboBnQ4rPyGxt/ez05HXuZdm1mcOd6PcJEkmnbbEHwY94fOA3WF3dAqe&#10;vqh+sd/v7Ue9r23TPCT0lh2Uur1ZJ48gIl7i3zEs+IwOFTO1/kgmiFEBF4mspmm+AbH4+T0P7SLl&#10;WQqyKuX/CtUvUEsDBBQAAAAIAIdO4kBN9UgapAEAADQDAAAOAAAAZHJzL2Uyb0RvYy54bWytUktu&#10;2zAQ3RfIHQjuY0oOmrSC5QBFkKJA0QRIewCaIi0C/GHIWPIF2ht0lU33PZfPkSFtufnsgm7I4Xwe&#10;572ZxeVoDdlIiNq7ltazihLphO+0W7f0x/fr0w+UxMRdx413sqVbGenl8uTdYgiNnPvem04CQRAX&#10;myG0tE8pNIxF0UvL48wH6TCoPFie8Alr1gEfEN0aNq+qczZ46AJ4IWNE79U+SJcFXykp0o1SUSZi&#10;Woq9pXJCOVf5ZMsFb9bAQ6/FoQ3+hi4s1w4/PUJd8cTJPehXUFYL8NGrNBPeMq+UFrJwQDZ19YLN&#10;Xc+DLFxQnBiOMsX/Byu+bW6B6K6l85oSxy3OaPf71+7h7+7PT4I+FGgIscG8u4CZafzkRxz05I/o&#10;zLxHBTbfyIhgHKXeHuWVYyIiF9XnZ2dzDAmM1RcfL6r3GYb9qw4Q02fpLclGSwHHV1Tlm68x7VOn&#10;lPyZ89famDJC4545EHPvkWUHDtWZyL7hbKVxNR7YrXy3RXLmi0Np85pMBkzGajLuA+h1j80VCVgG&#10;wtEUFoc1yrN/+kb76bIvH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Gthxe1wAAAAoBAAAPAAAA&#10;AAAAAAEAIAAAACIAAABkcnMvZG93bnJldi54bWxQSwECFAAUAAAACACHTuJATfVIGqQBAAA0AwAA&#10;DgAAAAAAAAABACAAAAAmAQAAZHJzL2Uyb0RvYy54bWxQSwUGAAAAAAYABgBZAQAAPAUAAAAA&#10;">
              <v:fill on="f" focussize="0,0"/>
              <v:stroke on="f"/>
              <v:imagedata o:title=""/>
              <o:lock v:ext="edit" aspectratio="f"/>
              <v:textbox inset="0mm,0mm,0mm,0mm">
                <w:txbxContent>
                  <w:p>
                    <w:pPr>
                      <w:spacing w:before="19"/>
                      <w:ind w:left="40" w:right="0" w:firstLine="0"/>
                      <w:jc w:val="left"/>
                      <w:rPr>
                        <w:rFonts w:hint="eastAsia" w:ascii="Verdana" w:eastAsia="宋体"/>
                        <w:sz w:val="20"/>
                        <w:lang w:eastAsia="zh-CN"/>
                      </w:rPr>
                    </w:pPr>
                    <w:r>
                      <w:rPr>
                        <w:rFonts w:hint="eastAsia" w:ascii="Verdana"/>
                        <w:sz w:val="20"/>
                        <w:lang w:eastAsia="zh-CN"/>
                      </w:rPr>
                      <w:t xml:space="preserve">第 </w:t>
                    </w:r>
                    <w:r>
                      <w:rPr>
                        <w:rFonts w:hint="eastAsia" w:ascii="Verdana"/>
                        <w:sz w:val="20"/>
                        <w:lang w:eastAsia="zh-CN"/>
                      </w:rPr>
                      <w:fldChar w:fldCharType="begin"/>
                    </w:r>
                    <w:r>
                      <w:rPr>
                        <w:rFonts w:hint="eastAsia" w:ascii="Verdana"/>
                        <w:sz w:val="20"/>
                        <w:lang w:eastAsia="zh-CN"/>
                      </w:rPr>
                      <w:instrText xml:space="preserve"> PAGE  \* MERGEFORMAT </w:instrText>
                    </w:r>
                    <w:r>
                      <w:rPr>
                        <w:rFonts w:hint="eastAsia" w:ascii="Verdana"/>
                        <w:sz w:val="20"/>
                        <w:lang w:eastAsia="zh-CN"/>
                      </w:rPr>
                      <w:fldChar w:fldCharType="separate"/>
                    </w:r>
                    <w:r>
                      <w:rPr>
                        <w:rFonts w:hint="eastAsia" w:ascii="Verdana"/>
                        <w:sz w:val="20"/>
                        <w:lang w:eastAsia="zh-CN"/>
                      </w:rPr>
                      <w:t>一</w:t>
                    </w:r>
                    <w:r>
                      <w:rPr>
                        <w:rFonts w:hint="eastAsia" w:ascii="Verdana"/>
                        <w:sz w:val="20"/>
                        <w:lang w:eastAsia="zh-CN"/>
                      </w:rPr>
                      <w:fldChar w:fldCharType="end"/>
                    </w:r>
                    <w:r>
                      <w:rPr>
                        <w:rFonts w:hint="eastAsia" w:ascii="Verdana"/>
                        <w:sz w:val="20"/>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972185</wp:posOffset>
              </wp:positionH>
              <wp:positionV relativeFrom="page">
                <wp:posOffset>705485</wp:posOffset>
              </wp:positionV>
              <wp:extent cx="560006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065"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55pt;margin-top:55.55pt;height:0pt;width:440.95pt;mso-position-horizontal-relative:page;mso-position-vertical-relative:page;z-index:-251658240;mso-width-relative:page;mso-height-relative:page;" filled="f" stroked="t" coordsize="21600,21600" o:gfxdata="UEsDBAoAAAAAAIdO4kAAAAAAAAAAAAAAAAAEAAAAZHJzL1BLAwQUAAAACACHTuJAhQchCdQAAAAM&#10;AQAADwAAAGRycy9kb3ducmV2LnhtbE1PTU/DMAy9I/EfIiNxY0mZNlBpusNULogDdPyArDFNRONU&#10;TbaO/Xo8CQl88rOf3ke1OYVBHHFKPpKGYqFAIHXReuo1fOye7x5BpGzImiESavjGBJv6+qoypY0z&#10;veOxzb1gEUql0eByHkspU+cwmLSIIxL/PuMUTGY49dJOZmbxMMh7pdYyGE/s4MyIW4fdV3sIGtq3&#10;13n9cj7PzUPrTcrZu6bZan17U6gnEBlP+Y8Ml/gcHWrOtI8HskkMjFfLgqm88IC4MNRyxfX2vydZ&#10;V/J/ifoHUEsDBBQAAAAIAIdO4kAfeR7w3gEAAKQDAAAOAAAAZHJzL2Uyb0RvYy54bWytU0uOEzEQ&#10;3SNxB8t70sloMoJWOrOYMGwQRAIOUPGn25J/cnnSySW4ABI7WLFkz22YOQZlJxMG2CBEFk7ZVX5V&#10;7/n14nLnLNuqhCb4js8mU86UF0Ea33f83dvrJ085wwxegg1edXyvkF8uHz9ajLFVZ2EIVqrECMRj&#10;O8aODznHtmlQDMoBTkJUnpI6JAeZtqlvZIKR0J1tzqbTi2YMScYUhEKk09UhyZcVX2sl8mutUWVm&#10;O06z5bqmum7K2iwX0PYJ4mDEcQz4hykcGE9NT1AryMBukvkDyhmRAgadJyK4JmhthKociM1s+hub&#10;NwNEVbmQOBhPMuH/gxWvtuvEjOz4nDMPjp7o9sPX7+8/3X37SOvtl89sXkQaI7ZUe+XX6bjDuE6F&#10;8U4nV/6JC9tVYfcnYdUuM0GH84spvRV1EPe55ufFmDC/UMGxEnTcGl84Qwvbl5ipGZXel5Rj69nY&#10;8Wez83OCA7KMtpApdJFIoO/rXQzWyGtjbbmBqd9c2cS2UExQf4US4f5SVpqsAIdDXU0d7DEokM+9&#10;ZHkfSR5PPuZlBKckZ1aR7UtEgNBmMPZvKqm19eWCqhY98iwaH1Qt0SbIPT3NTUymH0iXWZ25ZMgK&#10;dfqjbYvXHu4pfvhx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QchCdQAAAAMAQAADwAAAAAA&#10;AAABACAAAAAiAAAAZHJzL2Rvd25yZXYueG1sUEsBAhQAFAAAAAgAh07iQB95HvDeAQAApAMAAA4A&#10;AAAAAAAAAQAgAAAAIwEAAGRycy9lMm9Eb2MueG1sUEsFBgAAAAAGAAYAWQEAAHM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544830</wp:posOffset>
              </wp:positionV>
              <wp:extent cx="258635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586355" cy="139700"/>
                      </a:xfrm>
                      <a:prstGeom prst="rect">
                        <a:avLst/>
                      </a:prstGeom>
                      <a:noFill/>
                      <a:ln>
                        <a:noFill/>
                      </a:ln>
                      <a:effectLst/>
                    </wps:spPr>
                    <wps:txbx>
                      <w:txbxContent>
                        <w:p>
                          <w:pPr>
                            <w:spacing w:before="0" w:line="220" w:lineRule="exact"/>
                            <w:ind w:left="20" w:right="0" w:firstLine="0"/>
                            <w:jc w:val="left"/>
                            <w:rPr>
                              <w:rFonts w:hint="eastAsia" w:ascii="仿宋" w:eastAsia="仿宋"/>
                              <w:sz w:val="18"/>
                              <w:lang w:eastAsia="zh-CN"/>
                            </w:rPr>
                          </w:pPr>
                          <w:r>
                            <w:rPr>
                              <w:rFonts w:hint="eastAsia" w:ascii="仿宋" w:eastAsia="仿宋"/>
                              <w:sz w:val="18"/>
                              <w:lang w:eastAsia="zh-CN"/>
                            </w:rPr>
                            <w:t>河南理工大学2019年南校区毕业生宿舍改造工程</w:t>
                          </w:r>
                        </w:p>
                      </w:txbxContent>
                    </wps:txbx>
                    <wps:bodyPr vert="horz" lIns="0" tIns="0" rIns="0" bIns="0" anchor="t" upright="1"/>
                  </wps:wsp>
                </a:graphicData>
              </a:graphic>
            </wp:anchor>
          </w:drawing>
        </mc:Choice>
        <mc:Fallback>
          <w:pict>
            <v:shape id="_x0000_s1026" o:spid="_x0000_s1026" o:spt="202" type="#_x0000_t202" style="position:absolute;left:0pt;margin-left:75.55pt;margin-top:42.9pt;height:11pt;width:203.65pt;mso-position-horizontal-relative:page;mso-position-vertical-relative:page;z-index:-251657216;mso-width-relative:page;mso-height-relative:page;" filled="f" stroked="f" coordsize="21600,21600" o:gfxdata="UEsDBAoAAAAAAIdO4kAAAAAAAAAAAAAAAAAEAAAAZHJzL1BLAwQUAAAACACHTuJA9czCn9gAAAAK&#10;AQAADwAAAGRycy9kb3ducmV2LnhtbE2PzU7DMBCE70i8g7WVuFE7iJSQxqkQghMSIg0Hjk68TaLG&#10;6xC7P7w9y4keRzOa+abYnN0ojjiHwZOGZKlAILXeDtRp+KxfbzMQIRqyZvSEGn4wwKa8vipMbv2J&#10;KjxuYye4hEJuNPQxTrmUoe3RmbD0ExJ7Oz87E1nOnbSzOXG5G+WdUivpzEC80JsJn3ts99uD0/D0&#10;RdXL8P3efFS7aqjrR0Vvq73WN4tErUFEPMf/MPzhMzqUzNT4A9kgRtZpknBUQ5byBQ6kaXYPomFH&#10;PWQgy0JeXih/AVBLAwQUAAAACACHTuJAxpKri7QBAABJAwAADgAAAGRycy9lMm9Eb2MueG1srVPB&#10;jtMwEL0j8Q+W79RpVy1L1HQltFqEhABp4QNcx2ks2R5r7G1SPgD+gBMX7nxXv4Ox25QFbojLZDwz&#10;fp73ZrK+GZ1le43RgG/4fFZxpr2C1vhdwz9+uHt2zVlM0rfSgtcNP+jIbzZPn6yHUOsF9GBbjYxA&#10;fKyH0PA+pVALEVWvnYwzCNpTsgN0MtERd6JFORC6s2JRVSsxALYBQekYKXp7SvJNwe86rdK7ros6&#10;Mdtw6i0Vi8VusxWbtax3KENv1LkN+Q9dOGk8PXqBupVJsgc0f0E5oxAidGmmwAnoOqN04UBs5tUf&#10;bO57GXThQuLEcJEp/j9Y9Xb/HplpG77izEtHIzp+/XL89uP4/TNbZXmGEGuqug9Ul8aXMNKYp3ik&#10;YGY9dujyl/gwypPQh4u4ekxMUXCxvF5dLZecKcrNr148r4r64tftgDG90uBYdhqONLyiqdy/iYk6&#10;odKpJD/m4c5YWwZo/W8BKjxFdNmA8+1M5NRw9tK4Hc/sttAeiBxtMb3aA37izL72JHJemMnBydlO&#10;jvSKihueOHsIaHY93S7KiIxP8yodn3crL8TjM/mP/4DN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XMwp/YAAAACgEAAA8AAAAAAAAAAQAgAAAAIgAAAGRycy9kb3ducmV2LnhtbFBLAQIUABQAAAAI&#10;AIdO4kDGkquLtAEAAEkDAAAOAAAAAAAAAAEAIAAAACcBAABkcnMvZTJvRG9jLnhtbFBLBQYAAAAA&#10;BgAGAFkBAABNBQ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lang w:eastAsia="zh-CN"/>
                      </w:rPr>
                    </w:pPr>
                    <w:r>
                      <w:rPr>
                        <w:rFonts w:hint="eastAsia" w:ascii="仿宋" w:eastAsia="仿宋"/>
                        <w:sz w:val="18"/>
                        <w:lang w:eastAsia="zh-CN"/>
                      </w:rPr>
                      <w:t>河南理工大学2019年南校区毕业生宿舍改造工程</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5930900</wp:posOffset>
              </wp:positionH>
              <wp:positionV relativeFrom="page">
                <wp:posOffset>544830</wp:posOffset>
              </wp:positionV>
              <wp:extent cx="48260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82600" cy="139700"/>
                      </a:xfrm>
                      <a:prstGeom prst="rect">
                        <a:avLst/>
                      </a:prstGeom>
                      <a:noFill/>
                      <a:ln>
                        <a:noFill/>
                      </a:ln>
                      <a:effectLst/>
                    </wps:spPr>
                    <wps:txbx>
                      <w:txbxContent>
                        <w:p>
                          <w:pPr>
                            <w:spacing w:before="0" w:line="220" w:lineRule="exact"/>
                            <w:ind w:left="20" w:right="0" w:firstLine="0"/>
                            <w:jc w:val="left"/>
                            <w:rPr>
                              <w:rFonts w:hint="eastAsia" w:ascii="仿宋" w:eastAsia="仿宋"/>
                              <w:sz w:val="18"/>
                            </w:rPr>
                          </w:pPr>
                          <w:r>
                            <w:rPr>
                              <w:rFonts w:hint="eastAsia" w:ascii="仿宋" w:eastAsia="仿宋"/>
                              <w:sz w:val="18"/>
                            </w:rPr>
                            <w:t>招标文件</w:t>
                          </w:r>
                        </w:p>
                      </w:txbxContent>
                    </wps:txbx>
                    <wps:bodyPr lIns="0" tIns="0" rIns="0" bIns="0" upright="1"/>
                  </wps:wsp>
                </a:graphicData>
              </a:graphic>
            </wp:anchor>
          </w:drawing>
        </mc:Choice>
        <mc:Fallback>
          <w:pict>
            <v:shape id="_x0000_s1026" o:spid="_x0000_s1026" o:spt="202" type="#_x0000_t202" style="position:absolute;left:0pt;margin-left:467pt;margin-top:42.9pt;height:11pt;width:38pt;mso-position-horizontal-relative:page;mso-position-vertical-relative:page;z-index:-251656192;mso-width-relative:page;mso-height-relative:page;" filled="f" stroked="f" coordsize="21600,21600" o:gfxdata="UEsDBAoAAAAAAIdO4kAAAAAAAAAAAAAAAAAEAAAAZHJzL1BLAwQUAAAACACHTuJAWuI+c9kAAAAL&#10;AQAADwAAAGRycy9kb3ducmV2LnhtbE2PS0/DMBCE70j8B2uRuFE7PEoa4lQIwQkJNQ0Hjk68TaLG&#10;6xC7D/49mxPcdndGs9/k67MbxBGn0HvSkCwUCKTG255aDZ/V200KIkRD1gyeUMMPBlgXlxe5yaw/&#10;UYnHbWwFh1DIjIYuxjGTMjQdOhMWfkRibecnZyKvUyvtZE4c7gZ5q9RSOtMTf+jMiC8dNvvtwWl4&#10;/qLytf/+qDflruyraqXofbnX+voqUU8gIp7jnxlmfEaHgplqfyAbxKBhdXfPXaKG9IErzAaVKL7U&#10;8/SYgixy+b9D8QtQSwMEFAAAAAgAh07iQG8dioiiAQAAMQMAAA4AAABkcnMvZTJvRG9jLnhtbK1S&#10;QW7bMBC8B8gfCN5rym4RJ4LlAEWQoEDRBEj7AJoiLQIklyAZS/5A+4Occsk97/I7sqQtJ21vRS/U&#10;cHc52pndxeVgDdnIEDW4hk4nFSXSCWi1Wzf0x/frD+eUxMRdyw042dCtjPRyeXqy6H0tZ9CBaWUg&#10;SOJi3fuGdin5mrEoOml5nICXDpMKguUJr2HN2sB7ZLeGzarqjPUQWh9AyBgxerVP0mXhV0qKdKtU&#10;lImYhmJvqZyhnKt8suWC1+vAfafFoQ3+D11Yrh3+9Eh1xRMnD0H/RWW1CBBBpYkAy0ApLWTRgGqm&#10;1R9q7jvuZdGC5kR/tCn+P1rxbXMXiG4bOqfEcYsj2j3+2j297J5/knm2p/exxqp7j3Vp+AwDjnmM&#10;Rwxm1YMKNn9RD8E8Gr09miuHRAQGP53PzirMCExNP17MESM7e3vsQ0w3EizJoKEBZ1cs5ZuvMe1L&#10;x5L8LwfX2pgyP+N+CyDnPiLLAhxeZx37fjNKw2o4iFtBu0Vt5otDX/OOjCCMYDWCBx/0usPmigMs&#10;E+FciorDDuXBv78jfr/py1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a4j5z2QAAAAsBAAAPAAAA&#10;AAAAAAEAIAAAACIAAABkcnMvZG93bnJldi54bWxQSwECFAAUAAAACACHTuJAbx2KiKIBAAAxAwAA&#10;DgAAAAAAAAABACAAAAAoAQAAZHJzL2Uyb0RvYy54bWxQSwUGAAAAAAYABgBZAQAAPAUAAAAA&#10;">
              <v:fill on="f" focussize="0,0"/>
              <v:stroke on="f"/>
              <v:imagedata o:title=""/>
              <o:lock v:ext="edit" aspectratio="f"/>
              <v:textbox inset="0mm,0mm,0mm,0mm">
                <w:txbxContent>
                  <w:p>
                    <w:pPr>
                      <w:spacing w:before="0" w:line="220" w:lineRule="exact"/>
                      <w:ind w:left="20" w:right="0" w:firstLine="0"/>
                      <w:jc w:val="left"/>
                      <w:rPr>
                        <w:rFonts w:hint="eastAsia" w:ascii="仿宋" w:eastAsia="仿宋"/>
                        <w:sz w:val="18"/>
                      </w:rPr>
                    </w:pPr>
                    <w:r>
                      <w:rPr>
                        <w:rFonts w:hint="eastAsia" w:ascii="仿宋" w:eastAsia="仿宋"/>
                        <w:sz w:val="18"/>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79CE"/>
    <w:multiLevelType w:val="multilevel"/>
    <w:tmpl w:val="2F2D79CE"/>
    <w:lvl w:ilvl="0" w:tentative="0">
      <w:start w:val="1"/>
      <w:numFmt w:val="decimal"/>
      <w:lvlText w:val="%1."/>
      <w:lvlJc w:val="left"/>
      <w:pPr>
        <w:ind w:left="868" w:hanging="317"/>
      </w:pPr>
      <w:rPr>
        <w:rFonts w:hint="default" w:ascii="宋体" w:hAnsi="宋体" w:eastAsia="宋体" w:cs="宋体"/>
        <w:b/>
        <w:bCs/>
        <w:spacing w:val="0"/>
        <w:w w:val="98"/>
        <w:sz w:val="21"/>
        <w:szCs w:val="21"/>
        <w:lang w:val="zh-CN" w:eastAsia="zh-CN" w:bidi="zh-CN"/>
      </w:rPr>
    </w:lvl>
    <w:lvl w:ilvl="1" w:tentative="0">
      <w:start w:val="1"/>
      <w:numFmt w:val="decimal"/>
      <w:lvlText w:val="%1.%2"/>
      <w:lvlJc w:val="left"/>
      <w:pPr>
        <w:ind w:left="1180" w:hanging="42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180" w:hanging="420"/>
      </w:pPr>
      <w:rPr>
        <w:rFonts w:hint="default"/>
        <w:lang w:val="zh-CN" w:eastAsia="zh-CN" w:bidi="zh-CN"/>
      </w:rPr>
    </w:lvl>
    <w:lvl w:ilvl="3" w:tentative="0">
      <w:start w:val="0"/>
      <w:numFmt w:val="bullet"/>
      <w:lvlText w:val="•"/>
      <w:lvlJc w:val="left"/>
      <w:pPr>
        <w:ind w:left="1400" w:hanging="420"/>
      </w:pPr>
      <w:rPr>
        <w:rFonts w:hint="default"/>
        <w:lang w:val="zh-CN" w:eastAsia="zh-CN" w:bidi="zh-CN"/>
      </w:rPr>
    </w:lvl>
    <w:lvl w:ilvl="4" w:tentative="0">
      <w:start w:val="0"/>
      <w:numFmt w:val="bullet"/>
      <w:lvlText w:val="•"/>
      <w:lvlJc w:val="left"/>
      <w:pPr>
        <w:ind w:left="2640" w:hanging="420"/>
      </w:pPr>
      <w:rPr>
        <w:rFonts w:hint="default"/>
        <w:lang w:val="zh-CN" w:eastAsia="zh-CN" w:bidi="zh-CN"/>
      </w:rPr>
    </w:lvl>
    <w:lvl w:ilvl="5" w:tentative="0">
      <w:start w:val="0"/>
      <w:numFmt w:val="bullet"/>
      <w:lvlText w:val="•"/>
      <w:lvlJc w:val="left"/>
      <w:pPr>
        <w:ind w:left="3881" w:hanging="420"/>
      </w:pPr>
      <w:rPr>
        <w:rFonts w:hint="default"/>
        <w:lang w:val="zh-CN" w:eastAsia="zh-CN" w:bidi="zh-CN"/>
      </w:rPr>
    </w:lvl>
    <w:lvl w:ilvl="6" w:tentative="0">
      <w:start w:val="0"/>
      <w:numFmt w:val="bullet"/>
      <w:lvlText w:val="•"/>
      <w:lvlJc w:val="left"/>
      <w:pPr>
        <w:ind w:left="5122" w:hanging="420"/>
      </w:pPr>
      <w:rPr>
        <w:rFonts w:hint="default"/>
        <w:lang w:val="zh-CN" w:eastAsia="zh-CN" w:bidi="zh-CN"/>
      </w:rPr>
    </w:lvl>
    <w:lvl w:ilvl="7" w:tentative="0">
      <w:start w:val="0"/>
      <w:numFmt w:val="bullet"/>
      <w:lvlText w:val="•"/>
      <w:lvlJc w:val="left"/>
      <w:pPr>
        <w:ind w:left="6363" w:hanging="420"/>
      </w:pPr>
      <w:rPr>
        <w:rFonts w:hint="default"/>
        <w:lang w:val="zh-CN" w:eastAsia="zh-CN" w:bidi="zh-CN"/>
      </w:rPr>
    </w:lvl>
    <w:lvl w:ilvl="8" w:tentative="0">
      <w:start w:val="0"/>
      <w:numFmt w:val="bullet"/>
      <w:lvlText w:val="•"/>
      <w:lvlJc w:val="left"/>
      <w:pPr>
        <w:ind w:left="7604"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B3A77"/>
    <w:rsid w:val="3A8B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7">
    <w:name w:val="heading 1"/>
    <w:basedOn w:val="1"/>
    <w:next w:val="1"/>
    <w:qFormat/>
    <w:uiPriority w:val="1"/>
    <w:pPr>
      <w:spacing w:before="238"/>
      <w:ind w:left="2012" w:right="2176"/>
      <w:jc w:val="center"/>
      <w:outlineLvl w:val="1"/>
    </w:pPr>
    <w:rPr>
      <w:rFonts w:ascii="宋体" w:hAnsi="宋体" w:eastAsia="宋体" w:cs="宋体"/>
      <w:b/>
      <w:bCs/>
      <w:sz w:val="30"/>
      <w:szCs w:val="30"/>
      <w:lang w:val="zh-CN" w:eastAsia="zh-CN" w:bidi="zh-CN"/>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next w:val="5"/>
    <w:uiPriority w:val="0"/>
    <w:pPr>
      <w:ind w:firstLine="420" w:firstLineChars="100"/>
    </w:pPr>
  </w:style>
  <w:style w:type="paragraph" w:styleId="3">
    <w:name w:val="Body Text"/>
    <w:basedOn w:val="1"/>
    <w:next w:val="4"/>
    <w:qFormat/>
    <w:uiPriority w:val="1"/>
    <w:rPr>
      <w:rFonts w:ascii="宋体" w:hAnsi="宋体" w:eastAsia="宋体" w:cs="宋体"/>
      <w:sz w:val="21"/>
      <w:szCs w:val="21"/>
      <w:lang w:val="zh-CN" w:eastAsia="zh-CN" w:bidi="zh-CN"/>
    </w:rPr>
  </w:style>
  <w:style w:type="paragraph" w:styleId="4">
    <w:name w:val="Body Text 2"/>
    <w:basedOn w:val="1"/>
    <w:qFormat/>
    <w:uiPriority w:val="0"/>
    <w:pPr>
      <w:snapToGrid w:val="0"/>
      <w:spacing w:before="120" w:beforeLines="0" w:after="120" w:afterLines="0" w:line="360" w:lineRule="auto"/>
      <w:ind w:firstLine="100" w:firstLineChars="100"/>
    </w:pPr>
    <w:rPr>
      <w:rFonts w:ascii="宋体"/>
      <w:sz w:val="24"/>
      <w:szCs w:val="20"/>
    </w:rPr>
  </w:style>
  <w:style w:type="paragraph" w:styleId="5">
    <w:name w:val="Body Text First Indent 2"/>
    <w:basedOn w:val="6"/>
    <w:next w:val="1"/>
    <w:qFormat/>
    <w:uiPriority w:val="0"/>
    <w:pPr>
      <w:ind w:firstLine="420" w:firstLineChars="200"/>
    </w:pPr>
  </w:style>
  <w:style w:type="paragraph" w:styleId="6">
    <w:name w:val="Body Text Indent"/>
    <w:basedOn w:val="1"/>
    <w:qFormat/>
    <w:uiPriority w:val="0"/>
    <w:pPr>
      <w:spacing w:after="120"/>
      <w:ind w:left="420" w:leftChars="200"/>
    </w:pPr>
  </w:style>
  <w:style w:type="paragraph" w:styleId="10">
    <w:name w:val="List Paragraph"/>
    <w:basedOn w:val="1"/>
    <w:qFormat/>
    <w:uiPriority w:val="1"/>
    <w:pPr>
      <w:ind w:left="551" w:hanging="62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2019-05-09T00:22:00Z</dcterms:created>
  <dc:creator>不忘初心</dc:creator>
  <cp:lastModifiedBy>不忘初心</cp:lastModifiedBy>
  <dcterms:modified xsi:type="dcterms:W3CDTF">2019-05-09T00:31:26Z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