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河南理工大学国家重点实验室大楼室外工程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答疑文件</w:t>
      </w:r>
    </w:p>
    <w:p>
      <w:pPr>
        <w:spacing w:line="480" w:lineRule="auto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 w:val="0"/>
          <w:sz w:val="24"/>
          <w:szCs w:val="24"/>
          <w:lang w:eastAsia="zh-CN"/>
        </w:rPr>
        <w:t>致各投标人：</w:t>
      </w: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问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请明确投标函及工程量清单如何上传？</w:t>
      </w: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答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详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见河南省公共资源交易平台本项目“投标文</w:t>
      </w:r>
      <w:r>
        <w:rPr>
          <w:rFonts w:hint="eastAsia" w:ascii="宋体" w:hAnsi="宋体" w:eastAsia="宋体"/>
          <w:sz w:val="24"/>
          <w:szCs w:val="24"/>
          <w:lang w:eastAsia="zh-CN"/>
        </w:rPr>
        <w:t>件组成部分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问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请明确投标文件正、副本数量？</w:t>
      </w: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答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以招标文件</w:t>
      </w:r>
      <w:bookmarkStart w:id="0" w:name="_Toc30893"/>
      <w:r>
        <w:rPr>
          <w:rFonts w:hint="eastAsia" w:ascii="宋体" w:hAnsi="宋体" w:eastAsia="宋体"/>
          <w:sz w:val="24"/>
          <w:szCs w:val="24"/>
          <w:lang w:eastAsia="zh-CN"/>
        </w:rPr>
        <w:t>第二章“投标人须知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3.7.4</w:t>
      </w:r>
      <w:r>
        <w:rPr>
          <w:rFonts w:hint="eastAsia" w:ascii="宋体" w:hAnsi="宋体" w:eastAsia="宋体"/>
          <w:sz w:val="24"/>
          <w:szCs w:val="24"/>
          <w:lang w:eastAsia="zh-CN"/>
        </w:rPr>
        <w:t>”</w:t>
      </w:r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为准。</w:t>
      </w:r>
      <w:bookmarkStart w:id="1" w:name="_GoBack"/>
      <w:bookmarkEnd w:id="1"/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pacing w:line="48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中辰工程咨询有限公司</w:t>
      </w:r>
    </w:p>
    <w:p>
      <w:pPr>
        <w:spacing w:line="48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2017年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48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Palatino Linotype">
    <w:panose1 w:val="020405020503050A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3C19"/>
    <w:rsid w:val="035C6B5F"/>
    <w:rsid w:val="245D54F6"/>
    <w:rsid w:val="74F43C19"/>
    <w:rsid w:val="759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2017-12-04T06:31:00Z</dcterms:created>
  <dc:creator>WSJ✘</dc:creator>
  <cp:lastModifiedBy>WSJ✘</cp:lastModifiedBy>
  <dcterms:modified xsi:type="dcterms:W3CDTF">2017-12-04T08:53:44Z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