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D0B22">
      <w:pPr>
        <w:widowControl/>
        <w:adjustRightInd w:val="0"/>
        <w:snapToGrid w:val="0"/>
        <w:spacing w:line="360" w:lineRule="auto"/>
        <w:jc w:val="center"/>
        <w:rPr>
          <w:rFonts w:hint="eastAsia" w:ascii="宋体" w:hAnsi="宋体" w:eastAsia="宋体" w:cs="宋体"/>
          <w:b/>
          <w:kern w:val="0"/>
          <w:sz w:val="28"/>
          <w:szCs w:val="28"/>
          <w:lang w:eastAsia="zh-CN"/>
        </w:rPr>
      </w:pPr>
      <w:r>
        <w:rPr>
          <w:rFonts w:hint="eastAsia" w:ascii="宋体" w:hAnsi="宋体" w:cs="宋体"/>
          <w:b/>
          <w:kern w:val="0"/>
          <w:sz w:val="28"/>
          <w:szCs w:val="28"/>
          <w:lang w:eastAsia="zh-CN"/>
        </w:rPr>
        <w:t>河南理工大学明德楼、行政楼、力行楼等办公用房部分区域维修改造项目</w:t>
      </w:r>
    </w:p>
    <w:p w14:paraId="3D7B008D">
      <w:pPr>
        <w:widowControl/>
        <w:adjustRightInd w:val="0"/>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w:t>
      </w:r>
      <w:r>
        <w:rPr>
          <w:rFonts w:hint="eastAsia" w:ascii="宋体" w:hAnsi="宋体" w:cs="宋体"/>
          <w:b/>
          <w:kern w:val="0"/>
          <w:sz w:val="28"/>
          <w:szCs w:val="28"/>
          <w:lang w:eastAsia="zh-CN"/>
        </w:rPr>
        <w:t>（三次）</w:t>
      </w:r>
      <w:r>
        <w:rPr>
          <w:rFonts w:hint="eastAsia" w:ascii="宋体" w:hAnsi="宋体" w:cs="宋体"/>
          <w:b/>
          <w:kern w:val="0"/>
          <w:sz w:val="28"/>
          <w:szCs w:val="28"/>
        </w:rPr>
        <w:t>竞争性谈判公告</w:t>
      </w:r>
    </w:p>
    <w:p w14:paraId="0611CBF4">
      <w:pPr>
        <w:keepNext w:val="0"/>
        <w:keepLines w:val="0"/>
        <w:widowControl/>
        <w:spacing w:before="0" w:after="0" w:line="360" w:lineRule="auto"/>
        <w:ind w:firstLine="422" w:firstLineChars="200"/>
        <w:jc w:val="left"/>
        <w:outlineLvl w:val="1"/>
        <w:rPr>
          <w:rFonts w:hint="eastAsia" w:ascii="宋体" w:hAnsi="宋体" w:eastAsia="宋体" w:cs="宋体"/>
          <w:b/>
          <w:bCs/>
          <w:kern w:val="2"/>
          <w:sz w:val="21"/>
          <w:szCs w:val="21"/>
          <w:shd w:val="clear" w:color="auto" w:fill="FFFFFF"/>
          <w:lang w:val="en-US" w:eastAsia="zh-CN" w:bidi="ar-SA"/>
        </w:rPr>
      </w:pPr>
      <w:bookmarkStart w:id="0" w:name="_Toc4685"/>
      <w:r>
        <w:rPr>
          <w:rFonts w:hint="eastAsia" w:ascii="宋体" w:hAnsi="宋体" w:eastAsia="宋体" w:cs="宋体"/>
          <w:b/>
          <w:bCs/>
          <w:kern w:val="2"/>
          <w:sz w:val="21"/>
          <w:szCs w:val="21"/>
          <w:shd w:val="clear" w:color="auto" w:fill="FFFFFF"/>
          <w:lang w:val="en-US" w:eastAsia="zh-CN" w:bidi="ar-SA"/>
        </w:rPr>
        <w:t>项目概况</w:t>
      </w:r>
      <w:bookmarkEnd w:id="0"/>
    </w:p>
    <w:p w14:paraId="3DF8FB24">
      <w:pPr>
        <w:spacing w:line="360" w:lineRule="auto"/>
        <w:ind w:firstLine="420" w:firstLineChars="200"/>
        <w:rPr>
          <w:rFonts w:hint="eastAsia" w:ascii="宋体" w:hAnsi="宋体" w:cs="宋体"/>
          <w:szCs w:val="21"/>
        </w:rPr>
      </w:pPr>
      <w:r>
        <w:rPr>
          <w:rFonts w:hint="eastAsia" w:ascii="宋体" w:hAnsi="宋体" w:cs="宋体"/>
          <w:szCs w:val="21"/>
          <w:u w:val="single"/>
          <w:lang w:eastAsia="zh-CN"/>
        </w:rPr>
        <w:t>河南理工大学明德楼、行政楼、力行楼等办公用房部分区域维修改造项目</w:t>
      </w:r>
      <w:r>
        <w:rPr>
          <w:rFonts w:hint="eastAsia" w:ascii="宋体" w:hAnsi="宋体" w:cs="宋体"/>
          <w:szCs w:val="21"/>
        </w:rPr>
        <w:t>招标项目的潜在投标人应在</w:t>
      </w:r>
      <w:r>
        <w:rPr>
          <w:rFonts w:hint="eastAsia" w:ascii="宋体" w:hAnsi="宋体" w:cs="宋体"/>
          <w:color w:val="000000"/>
          <w:szCs w:val="21"/>
        </w:rPr>
        <w:t>“河南省公共资源交易中心（http://www.hnggzy.net）”</w:t>
      </w:r>
      <w:r>
        <w:rPr>
          <w:rFonts w:hint="eastAsia" w:ascii="宋体" w:hAnsi="宋体" w:cs="宋体"/>
          <w:szCs w:val="21"/>
        </w:rPr>
        <w:t>获取招标文件，并于</w:t>
      </w: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lang w:val="en-US" w:eastAsia="zh-CN"/>
        </w:rPr>
        <w:t>7</w:t>
      </w:r>
      <w:r>
        <w:rPr>
          <w:rFonts w:hint="eastAsia" w:ascii="宋体" w:hAnsi="宋体" w:cs="宋体"/>
          <w:kern w:val="0"/>
          <w:szCs w:val="21"/>
        </w:rPr>
        <w:t>月</w:t>
      </w:r>
      <w:r>
        <w:rPr>
          <w:rFonts w:hint="eastAsia" w:ascii="宋体" w:hAnsi="宋体" w:cs="宋体"/>
          <w:kern w:val="0"/>
          <w:szCs w:val="21"/>
          <w:u w:val="single"/>
          <w:lang w:val="en-US" w:eastAsia="zh-CN"/>
        </w:rPr>
        <w:t>30</w:t>
      </w:r>
      <w:r>
        <w:rPr>
          <w:rFonts w:hint="eastAsia" w:ascii="宋体" w:hAnsi="宋体" w:cs="宋体"/>
          <w:kern w:val="0"/>
          <w:szCs w:val="21"/>
        </w:rPr>
        <w:t>日</w:t>
      </w:r>
      <w:r>
        <w:rPr>
          <w:rFonts w:hint="eastAsia" w:ascii="宋体" w:hAnsi="宋体" w:cs="宋体"/>
          <w:kern w:val="0"/>
          <w:szCs w:val="21"/>
          <w:u w:val="single"/>
          <w:lang w:val="en-US" w:eastAsia="zh-CN"/>
        </w:rPr>
        <w:t>09</w:t>
      </w:r>
      <w:r>
        <w:rPr>
          <w:rFonts w:hint="eastAsia" w:ascii="宋体" w:hAnsi="宋体" w:cs="宋体"/>
          <w:kern w:val="0"/>
          <w:szCs w:val="21"/>
        </w:rPr>
        <w:t>时</w:t>
      </w:r>
      <w:r>
        <w:rPr>
          <w:rFonts w:hint="eastAsia" w:ascii="宋体" w:hAnsi="宋体" w:cs="宋体"/>
          <w:kern w:val="0"/>
          <w:szCs w:val="21"/>
          <w:u w:val="single"/>
          <w:lang w:val="en-US" w:eastAsia="zh-CN"/>
        </w:rPr>
        <w:t>00</w:t>
      </w:r>
      <w:r>
        <w:rPr>
          <w:rFonts w:hint="eastAsia" w:ascii="宋体" w:hAnsi="宋体" w:cs="宋体"/>
          <w:kern w:val="0"/>
          <w:szCs w:val="21"/>
        </w:rPr>
        <w:t>分</w:t>
      </w:r>
      <w:r>
        <w:rPr>
          <w:rFonts w:hint="eastAsia" w:ascii="宋体" w:hAnsi="宋体" w:cs="宋体"/>
          <w:szCs w:val="21"/>
        </w:rPr>
        <w:t>（北京时间）前递交响应文件。</w:t>
      </w:r>
    </w:p>
    <w:p w14:paraId="048F74C5">
      <w:pPr>
        <w:keepNext w:val="0"/>
        <w:keepLines w:val="0"/>
        <w:widowControl/>
        <w:spacing w:before="0" w:after="0" w:line="360" w:lineRule="auto"/>
        <w:jc w:val="left"/>
        <w:outlineLvl w:val="1"/>
        <w:rPr>
          <w:rFonts w:hint="eastAsia" w:ascii="宋体" w:hAnsi="宋体" w:eastAsia="宋体" w:cs="宋体"/>
          <w:b/>
          <w:bCs/>
          <w:kern w:val="2"/>
          <w:sz w:val="21"/>
          <w:szCs w:val="21"/>
          <w:shd w:val="clear" w:color="auto" w:fill="FFFFFF"/>
          <w:lang w:val="en-US" w:eastAsia="zh-CN" w:bidi="ar-SA"/>
        </w:rPr>
      </w:pPr>
      <w:bookmarkStart w:id="1" w:name="_Toc9543"/>
      <w:r>
        <w:rPr>
          <w:rFonts w:hint="eastAsia" w:ascii="宋体" w:hAnsi="宋体" w:eastAsia="宋体" w:cs="宋体"/>
          <w:b/>
          <w:bCs/>
          <w:kern w:val="2"/>
          <w:sz w:val="21"/>
          <w:szCs w:val="21"/>
          <w:shd w:val="clear" w:color="auto" w:fill="FFFFFF"/>
          <w:lang w:val="en-US" w:eastAsia="zh-CN" w:bidi="ar-SA"/>
        </w:rPr>
        <w:t>一、项目基本情况</w:t>
      </w:r>
      <w:bookmarkEnd w:id="1"/>
    </w:p>
    <w:p w14:paraId="59096881">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1、项目编号：</w:t>
      </w:r>
      <w:r>
        <w:rPr>
          <w:rFonts w:hint="eastAsia" w:ascii="宋体" w:hAnsi="宋体" w:cs="宋体"/>
          <w:szCs w:val="21"/>
          <w:shd w:val="clear" w:color="auto" w:fill="FFFFFF"/>
          <w:lang w:val="en-US" w:eastAsia="zh-CN"/>
        </w:rPr>
        <w:t>豫财竞谈-2024-29</w:t>
      </w:r>
    </w:p>
    <w:p w14:paraId="2F1C8CEF">
      <w:pPr>
        <w:widowControl/>
        <w:tabs>
          <w:tab w:val="left" w:pos="840"/>
        </w:tabs>
        <w:spacing w:line="360" w:lineRule="auto"/>
        <w:ind w:firstLine="420" w:firstLine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2、项目名称：</w:t>
      </w:r>
      <w:r>
        <w:rPr>
          <w:rFonts w:hint="eastAsia" w:ascii="宋体" w:hAnsi="宋体" w:cs="宋体"/>
          <w:szCs w:val="21"/>
          <w:shd w:val="clear" w:color="auto" w:fill="FFFFFF"/>
          <w:lang w:eastAsia="zh-CN"/>
        </w:rPr>
        <w:t>河南理工大学明德楼、行政楼、力行楼等办公用房部分区域维修改造项目</w:t>
      </w:r>
    </w:p>
    <w:p w14:paraId="3B36D95D">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3、采购方式：竞争性谈判</w:t>
      </w:r>
    </w:p>
    <w:p w14:paraId="3EDE0EF3">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4、预算金额：</w:t>
      </w:r>
      <w:r>
        <w:rPr>
          <w:rFonts w:hint="eastAsia" w:ascii="宋体" w:hAnsi="宋体" w:cs="宋体"/>
          <w:kern w:val="0"/>
          <w:szCs w:val="21"/>
          <w:lang w:val="zh-CN"/>
        </w:rPr>
        <w:t>1483405.90</w:t>
      </w:r>
      <w:r>
        <w:rPr>
          <w:rFonts w:hint="eastAsia" w:ascii="宋体" w:hAnsi="宋体" w:cs="宋体"/>
          <w:szCs w:val="21"/>
          <w:shd w:val="clear" w:color="auto" w:fill="FFFFFF"/>
        </w:rPr>
        <w:t xml:space="preserve"> 元</w:t>
      </w:r>
    </w:p>
    <w:p w14:paraId="789D55F1">
      <w:pPr>
        <w:widowControl w:val="0"/>
        <w:autoSpaceDE w:val="0"/>
        <w:autoSpaceDN w:val="0"/>
        <w:adjustRightInd w:val="0"/>
        <w:spacing w:line="360" w:lineRule="auto"/>
        <w:rPr>
          <w:rFonts w:hint="eastAsia" w:ascii="宋体" w:hAnsi="宋体" w:eastAsia="宋体" w:cs="宋体"/>
          <w:b/>
          <w:bCs/>
          <w:color w:val="FF0000"/>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 xml:space="preserve">       最高限价：1483405.90</w:t>
      </w:r>
      <w:r>
        <w:rPr>
          <w:rFonts w:hint="eastAsia" w:ascii="宋体" w:hAnsi="宋体" w:eastAsia="宋体" w:cs="宋体"/>
          <w:color w:val="auto"/>
          <w:sz w:val="21"/>
          <w:szCs w:val="21"/>
          <w:lang w:val="zh-CN" w:eastAsia="zh-CN" w:bidi="ar-SA"/>
        </w:rPr>
        <w:t xml:space="preserve"> 元</w:t>
      </w:r>
    </w:p>
    <w:tbl>
      <w:tblPr>
        <w:tblStyle w:val="4"/>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668"/>
        <w:gridCol w:w="2179"/>
        <w:gridCol w:w="1247"/>
        <w:gridCol w:w="1587"/>
        <w:gridCol w:w="1384"/>
        <w:gridCol w:w="1639"/>
      </w:tblGrid>
      <w:tr w14:paraId="2EF4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56" w:type="dxa"/>
            <w:noWrap w:val="0"/>
            <w:vAlign w:val="center"/>
          </w:tcPr>
          <w:p w14:paraId="3D7E521A">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序号</w:t>
            </w:r>
          </w:p>
        </w:tc>
        <w:tc>
          <w:tcPr>
            <w:tcW w:w="1694" w:type="dxa"/>
            <w:noWrap w:val="0"/>
            <w:vAlign w:val="center"/>
          </w:tcPr>
          <w:p w14:paraId="420DC85D">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包号</w:t>
            </w:r>
          </w:p>
        </w:tc>
        <w:tc>
          <w:tcPr>
            <w:tcW w:w="2639" w:type="dxa"/>
            <w:noWrap w:val="0"/>
            <w:vAlign w:val="center"/>
          </w:tcPr>
          <w:p w14:paraId="46C76AAF">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包名称</w:t>
            </w:r>
          </w:p>
        </w:tc>
        <w:tc>
          <w:tcPr>
            <w:tcW w:w="1273" w:type="dxa"/>
            <w:noWrap w:val="0"/>
            <w:vAlign w:val="center"/>
          </w:tcPr>
          <w:p w14:paraId="5B2FC537">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包预算（元）</w:t>
            </w:r>
          </w:p>
        </w:tc>
        <w:tc>
          <w:tcPr>
            <w:tcW w:w="1714" w:type="dxa"/>
            <w:noWrap w:val="0"/>
            <w:vAlign w:val="center"/>
          </w:tcPr>
          <w:p w14:paraId="6E182C27">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包最高限价（元）</w:t>
            </w:r>
          </w:p>
        </w:tc>
        <w:tc>
          <w:tcPr>
            <w:tcW w:w="1669" w:type="dxa"/>
            <w:noWrap w:val="0"/>
            <w:vAlign w:val="center"/>
          </w:tcPr>
          <w:p w14:paraId="172E677F">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是否专门面向中小企业</w:t>
            </w:r>
          </w:p>
        </w:tc>
        <w:tc>
          <w:tcPr>
            <w:tcW w:w="1781" w:type="dxa"/>
            <w:noWrap w:val="0"/>
            <w:vAlign w:val="center"/>
          </w:tcPr>
          <w:p w14:paraId="77961EC2">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采购预留金额（元）</w:t>
            </w:r>
          </w:p>
        </w:tc>
      </w:tr>
      <w:tr w14:paraId="6FAC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6" w:type="dxa"/>
            <w:noWrap w:val="0"/>
            <w:vAlign w:val="center"/>
          </w:tcPr>
          <w:p w14:paraId="170E1C1F">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1</w:t>
            </w:r>
          </w:p>
        </w:tc>
        <w:tc>
          <w:tcPr>
            <w:tcW w:w="1694" w:type="dxa"/>
            <w:noWrap w:val="0"/>
            <w:vAlign w:val="center"/>
          </w:tcPr>
          <w:p w14:paraId="06AC8358">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 xml:space="preserve">豫政采(2)20241001-1 </w:t>
            </w:r>
          </w:p>
        </w:tc>
        <w:tc>
          <w:tcPr>
            <w:tcW w:w="2639" w:type="dxa"/>
            <w:noWrap w:val="0"/>
            <w:vAlign w:val="center"/>
          </w:tcPr>
          <w:p w14:paraId="20406B61">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河南理工大学明德楼音乐厅贵宾室及卫生间升级改造工程项目</w:t>
            </w:r>
          </w:p>
        </w:tc>
        <w:tc>
          <w:tcPr>
            <w:tcW w:w="1273" w:type="dxa"/>
            <w:noWrap w:val="0"/>
            <w:vAlign w:val="center"/>
          </w:tcPr>
          <w:p w14:paraId="3C7BCB11">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378983.83</w:t>
            </w:r>
          </w:p>
        </w:tc>
        <w:tc>
          <w:tcPr>
            <w:tcW w:w="1714" w:type="dxa"/>
            <w:noWrap w:val="0"/>
            <w:vAlign w:val="center"/>
          </w:tcPr>
          <w:p w14:paraId="626561DA">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378983.83</w:t>
            </w:r>
          </w:p>
        </w:tc>
        <w:tc>
          <w:tcPr>
            <w:tcW w:w="1669" w:type="dxa"/>
            <w:noWrap w:val="0"/>
            <w:vAlign w:val="center"/>
          </w:tcPr>
          <w:p w14:paraId="64564426">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是</w:t>
            </w:r>
          </w:p>
        </w:tc>
        <w:tc>
          <w:tcPr>
            <w:tcW w:w="1781" w:type="dxa"/>
            <w:noWrap w:val="0"/>
            <w:vAlign w:val="center"/>
          </w:tcPr>
          <w:p w14:paraId="5AD54DF4">
            <w:pPr>
              <w:widowControl w:val="0"/>
              <w:autoSpaceDE w:val="0"/>
              <w:autoSpaceDN w:val="0"/>
              <w:adjustRightInd w:val="0"/>
              <w:spacing w:line="360" w:lineRule="auto"/>
              <w:jc w:val="center"/>
              <w:rPr>
                <w:rFonts w:hint="eastAsia" w:ascii="宋体" w:hAnsi="宋体" w:eastAsia="宋体" w:cs="宋体"/>
                <w:color w:val="auto"/>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bidi="ar-SA"/>
              </w:rPr>
              <w:t>378983.83</w:t>
            </w:r>
          </w:p>
        </w:tc>
      </w:tr>
      <w:tr w14:paraId="03B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56" w:type="dxa"/>
            <w:noWrap w:val="0"/>
            <w:vAlign w:val="center"/>
          </w:tcPr>
          <w:p w14:paraId="2E4614A9">
            <w:pPr>
              <w:widowControl/>
              <w:tabs>
                <w:tab w:val="left" w:pos="840"/>
              </w:tabs>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1694" w:type="dxa"/>
            <w:noWrap w:val="0"/>
            <w:vAlign w:val="center"/>
          </w:tcPr>
          <w:p w14:paraId="5E4D8550">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豫政采(2)20241001-2</w:t>
            </w:r>
          </w:p>
        </w:tc>
        <w:tc>
          <w:tcPr>
            <w:tcW w:w="2639" w:type="dxa"/>
            <w:noWrap w:val="0"/>
            <w:vAlign w:val="center"/>
          </w:tcPr>
          <w:p w14:paraId="641E3DD7">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河南理工大学行政楼、力行楼及原理化楼4层公共区域改造工程项目</w:t>
            </w:r>
          </w:p>
        </w:tc>
        <w:tc>
          <w:tcPr>
            <w:tcW w:w="1273" w:type="dxa"/>
            <w:noWrap w:val="0"/>
            <w:vAlign w:val="center"/>
          </w:tcPr>
          <w:p w14:paraId="3E9BCD37">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329048.69</w:t>
            </w:r>
          </w:p>
        </w:tc>
        <w:tc>
          <w:tcPr>
            <w:tcW w:w="1714" w:type="dxa"/>
            <w:noWrap w:val="0"/>
            <w:vAlign w:val="center"/>
          </w:tcPr>
          <w:p w14:paraId="1B46AC7C">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329048.69</w:t>
            </w:r>
          </w:p>
        </w:tc>
        <w:tc>
          <w:tcPr>
            <w:tcW w:w="1669" w:type="dxa"/>
            <w:noWrap w:val="0"/>
            <w:vAlign w:val="center"/>
          </w:tcPr>
          <w:p w14:paraId="220D7306">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是</w:t>
            </w:r>
          </w:p>
        </w:tc>
        <w:tc>
          <w:tcPr>
            <w:tcW w:w="1781" w:type="dxa"/>
            <w:noWrap w:val="0"/>
            <w:vAlign w:val="center"/>
          </w:tcPr>
          <w:p w14:paraId="1BA01433">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329048.69</w:t>
            </w:r>
          </w:p>
        </w:tc>
      </w:tr>
      <w:tr w14:paraId="25B5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56" w:type="dxa"/>
            <w:noWrap w:val="0"/>
            <w:vAlign w:val="center"/>
          </w:tcPr>
          <w:p w14:paraId="67E8F3B4">
            <w:pPr>
              <w:widowControl/>
              <w:tabs>
                <w:tab w:val="left" w:pos="840"/>
              </w:tabs>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3</w:t>
            </w:r>
          </w:p>
        </w:tc>
        <w:tc>
          <w:tcPr>
            <w:tcW w:w="1694" w:type="dxa"/>
            <w:noWrap w:val="0"/>
            <w:vAlign w:val="center"/>
          </w:tcPr>
          <w:p w14:paraId="35D9F7F8">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豫政采(2)20241001-3</w:t>
            </w:r>
          </w:p>
        </w:tc>
        <w:tc>
          <w:tcPr>
            <w:tcW w:w="2639" w:type="dxa"/>
            <w:noWrap w:val="0"/>
            <w:vAlign w:val="center"/>
          </w:tcPr>
          <w:p w14:paraId="4762E573">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河南理工大学大学生活动中心楼公共区域维修改造工程项目</w:t>
            </w:r>
          </w:p>
        </w:tc>
        <w:tc>
          <w:tcPr>
            <w:tcW w:w="1273" w:type="dxa"/>
            <w:noWrap w:val="0"/>
            <w:vAlign w:val="center"/>
          </w:tcPr>
          <w:p w14:paraId="3C2136AD">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292431.71</w:t>
            </w:r>
          </w:p>
        </w:tc>
        <w:tc>
          <w:tcPr>
            <w:tcW w:w="1714" w:type="dxa"/>
            <w:noWrap w:val="0"/>
            <w:vAlign w:val="center"/>
          </w:tcPr>
          <w:p w14:paraId="6E5520BF">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292431.71</w:t>
            </w:r>
          </w:p>
        </w:tc>
        <w:tc>
          <w:tcPr>
            <w:tcW w:w="1669" w:type="dxa"/>
            <w:noWrap w:val="0"/>
            <w:vAlign w:val="center"/>
          </w:tcPr>
          <w:p w14:paraId="482C5421">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是</w:t>
            </w:r>
          </w:p>
        </w:tc>
        <w:tc>
          <w:tcPr>
            <w:tcW w:w="1781" w:type="dxa"/>
            <w:noWrap w:val="0"/>
            <w:vAlign w:val="center"/>
          </w:tcPr>
          <w:p w14:paraId="0E99F325">
            <w:pPr>
              <w:widowControl/>
              <w:tabs>
                <w:tab w:val="left" w:pos="840"/>
              </w:tabs>
              <w:spacing w:line="360" w:lineRule="auto"/>
              <w:jc w:val="center"/>
              <w:rPr>
                <w:rFonts w:hint="eastAsia" w:ascii="宋体" w:hAnsi="宋体" w:cs="宋体"/>
                <w:szCs w:val="21"/>
                <w:shd w:val="clear" w:color="auto" w:fill="FFFFFF"/>
              </w:rPr>
            </w:pPr>
            <w:r>
              <w:rPr>
                <w:rFonts w:hint="eastAsia" w:ascii="宋体" w:hAnsi="宋体" w:cs="宋体"/>
                <w:szCs w:val="21"/>
                <w:shd w:val="clear" w:color="auto" w:fill="FFFFFF"/>
              </w:rPr>
              <w:t>292431.71</w:t>
            </w:r>
          </w:p>
        </w:tc>
      </w:tr>
    </w:tbl>
    <w:p w14:paraId="7A464220">
      <w:pPr>
        <w:widowControl/>
        <w:numPr>
          <w:ilvl w:val="0"/>
          <w:numId w:val="1"/>
        </w:numPr>
        <w:tabs>
          <w:tab w:val="left" w:pos="840"/>
        </w:tabs>
        <w:spacing w:line="360" w:lineRule="auto"/>
        <w:ind w:firstLine="420" w:firstLineChars="200"/>
        <w:jc w:val="left"/>
        <w:rPr>
          <w:rFonts w:hint="eastAsia" w:ascii="宋体" w:hAnsi="宋体" w:cs="宋体"/>
          <w:szCs w:val="21"/>
          <w:shd w:val="clear" w:color="auto" w:fill="FFFFFF"/>
        </w:rPr>
      </w:pPr>
      <w:bookmarkStart w:id="2" w:name="_Toc27913"/>
      <w:bookmarkStart w:id="3" w:name="_Toc21071"/>
      <w:bookmarkStart w:id="4" w:name="_Toc24040"/>
      <w:bookmarkStart w:id="5" w:name="_Toc26079"/>
      <w:bookmarkStart w:id="6" w:name="_Toc19521"/>
      <w:r>
        <w:rPr>
          <w:rFonts w:hint="eastAsia" w:ascii="宋体" w:hAnsi="宋体" w:cs="宋体"/>
          <w:szCs w:val="21"/>
          <w:shd w:val="clear" w:color="auto" w:fill="FFFFFF"/>
        </w:rPr>
        <w:t>采购需求</w:t>
      </w:r>
      <w:bookmarkEnd w:id="2"/>
      <w:bookmarkEnd w:id="3"/>
      <w:bookmarkEnd w:id="4"/>
      <w:bookmarkEnd w:id="5"/>
      <w:bookmarkEnd w:id="6"/>
      <w:r>
        <w:rPr>
          <w:rFonts w:hint="eastAsia" w:ascii="宋体" w:hAnsi="宋体" w:cs="宋体"/>
          <w:szCs w:val="21"/>
          <w:shd w:val="clear" w:color="auto" w:fill="FFFFFF"/>
        </w:rPr>
        <w:t>：（包括但不限于标的的名称、数量、简要技术需求或服务要求等）</w:t>
      </w:r>
    </w:p>
    <w:p w14:paraId="77BC94AA">
      <w:pPr>
        <w:widowControl/>
        <w:spacing w:before="0" w:beforeAutospacing="0" w:after="0" w:afterAutospacing="0" w:line="360" w:lineRule="auto"/>
        <w:ind w:firstLine="420" w:firstLineChars="200"/>
        <w:jc w:val="left"/>
        <w:rPr>
          <w:rFonts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5.1采购范围</w:t>
      </w:r>
    </w:p>
    <w:p w14:paraId="4EDBCCD9">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5.1.1一标段：对河南理工大学南校区明德楼音乐厅贵宾室整体进行装修改造，包括更换木质地板、实木门、墙面吸音板、灯具、顶棚刷漆并对1-4层卫生间整体进行装修改造等（详见项目施工图纸、方案及工程量清单）。</w:t>
      </w:r>
    </w:p>
    <w:p w14:paraId="6562E051">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5.1.2二标段：对河南理工大学南校区行政楼、力行楼、原理化楼4层公共区域进行维修改造，主要包括：1.行政楼及力行楼公共区域和楼梯间喷涂乳胶漆，吸顶灯、筒灯、进风口、出风口拆除更换；2.原理化楼4层漏水老旧窗户拆除更换，公共区域走廊安装吊顶及灯具，墙面重新粉刷，新增加一间办公室，包含吊顶、隔断、门具、暖气等并对414、415房间进行装修改造（详见项目施工图纸、方案及工程量清单）。</w:t>
      </w:r>
    </w:p>
    <w:p w14:paraId="44F483BF">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5.1.3三标段：对河南理工大学南校区大学生活动中心楼1楼、2楼走廊及楼梯间就旧皮铲除、刷漆翻新，并对1-4楼卫生间整体进行维修改造等（详见项目施工图纸、方案及工程量清单）。</w:t>
      </w:r>
    </w:p>
    <w:p w14:paraId="399E99CC">
      <w:pPr>
        <w:widowControl/>
        <w:spacing w:before="0" w:beforeAutospacing="0" w:after="0" w:afterAutospacing="0" w:line="360" w:lineRule="auto"/>
        <w:ind w:firstLine="420" w:firstLineChars="200"/>
        <w:jc w:val="left"/>
        <w:rPr>
          <w:rFonts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5.2标段划分：本项目划分3个标段。</w:t>
      </w:r>
    </w:p>
    <w:p w14:paraId="328E56A6">
      <w:pPr>
        <w:widowControl/>
        <w:spacing w:before="0" w:beforeAutospacing="0" w:after="0" w:afterAutospacing="0" w:line="360" w:lineRule="auto"/>
        <w:ind w:firstLine="422" w:firstLineChars="200"/>
        <w:jc w:val="left"/>
        <w:rPr>
          <w:rFonts w:ascii="宋体" w:hAnsi="宋体" w:eastAsia="宋体" w:cs="宋体"/>
          <w:b/>
          <w:bCs/>
          <w:kern w:val="0"/>
          <w:sz w:val="21"/>
          <w:szCs w:val="21"/>
          <w:shd w:val="clear" w:color="auto" w:fill="FFFFFF"/>
          <w:lang w:val="en-US" w:eastAsia="zh-CN" w:bidi="ar-SA"/>
        </w:rPr>
      </w:pPr>
      <w:r>
        <w:rPr>
          <w:rFonts w:hint="eastAsia" w:ascii="宋体" w:hAnsi="宋体" w:eastAsia="宋体" w:cs="宋体"/>
          <w:b/>
          <w:bCs/>
          <w:kern w:val="0"/>
          <w:sz w:val="21"/>
          <w:szCs w:val="21"/>
          <w:shd w:val="clear" w:color="auto" w:fill="FFFFFF"/>
          <w:lang w:val="en-US" w:eastAsia="zh-CN" w:bidi="ar-SA"/>
        </w:rPr>
        <w:t>5.3工期：25日历天。</w:t>
      </w:r>
    </w:p>
    <w:p w14:paraId="030D7A1C">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5.4质量要求：工程质量达到合格，符合国家现行规范和技术标准要求。</w:t>
      </w:r>
    </w:p>
    <w:p w14:paraId="1FFB83C0">
      <w:pPr>
        <w:widowControl/>
        <w:tabs>
          <w:tab w:val="left" w:pos="840"/>
        </w:tabs>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5.5项目地点：采购人指定地点。</w:t>
      </w:r>
    </w:p>
    <w:p w14:paraId="5C2FF6A3">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bCs/>
          <w:szCs w:val="21"/>
          <w:shd w:val="clear" w:color="auto" w:fill="FFFFFF"/>
        </w:rPr>
        <w:t>6、合同履行期限：同施工工期。</w:t>
      </w:r>
    </w:p>
    <w:p w14:paraId="78032281">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7、本项目是否接受联合体投标：否</w:t>
      </w:r>
    </w:p>
    <w:p w14:paraId="4AFC70C4">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8、是否接受进口产品：否</w:t>
      </w:r>
    </w:p>
    <w:p w14:paraId="751C5CC0">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9、是否专门面向中小企业：是</w:t>
      </w:r>
    </w:p>
    <w:p w14:paraId="45ABEDCD">
      <w:pPr>
        <w:keepNext w:val="0"/>
        <w:keepLines w:val="0"/>
        <w:widowControl/>
        <w:spacing w:before="0" w:after="0" w:line="360" w:lineRule="auto"/>
        <w:jc w:val="left"/>
        <w:outlineLvl w:val="1"/>
        <w:rPr>
          <w:rFonts w:hint="eastAsia" w:ascii="宋体" w:hAnsi="宋体" w:eastAsia="宋体" w:cs="宋体"/>
          <w:b/>
          <w:bCs/>
          <w:kern w:val="2"/>
          <w:sz w:val="21"/>
          <w:szCs w:val="21"/>
          <w:shd w:val="clear" w:color="auto" w:fill="FFFFFF"/>
          <w:lang w:val="en-US" w:eastAsia="zh-CN" w:bidi="ar-SA"/>
        </w:rPr>
      </w:pPr>
      <w:bookmarkStart w:id="7" w:name="_Toc18607"/>
      <w:bookmarkStart w:id="8" w:name="_Toc27704"/>
      <w:bookmarkStart w:id="9" w:name="_Toc23626"/>
      <w:bookmarkStart w:id="10" w:name="_Toc16639"/>
      <w:bookmarkStart w:id="11" w:name="_Toc7703"/>
      <w:r>
        <w:rPr>
          <w:rFonts w:hint="eastAsia" w:ascii="宋体" w:hAnsi="宋体" w:eastAsia="宋体" w:cs="宋体"/>
          <w:b/>
          <w:bCs/>
          <w:kern w:val="2"/>
          <w:sz w:val="21"/>
          <w:szCs w:val="21"/>
          <w:shd w:val="clear" w:color="auto" w:fill="FFFFFF"/>
          <w:lang w:val="en-US" w:eastAsia="zh-CN" w:bidi="ar-SA"/>
        </w:rPr>
        <w:t>二、</w:t>
      </w:r>
      <w:bookmarkEnd w:id="7"/>
      <w:bookmarkEnd w:id="8"/>
      <w:bookmarkEnd w:id="9"/>
      <w:bookmarkEnd w:id="10"/>
      <w:r>
        <w:rPr>
          <w:rFonts w:hint="eastAsia" w:ascii="宋体" w:hAnsi="宋体" w:eastAsia="宋体" w:cs="宋体"/>
          <w:b/>
          <w:bCs/>
          <w:kern w:val="2"/>
          <w:sz w:val="21"/>
          <w:szCs w:val="21"/>
          <w:shd w:val="clear" w:color="auto" w:fill="FFFFFF"/>
          <w:lang w:val="en-US" w:eastAsia="zh-CN" w:bidi="ar-SA"/>
        </w:rPr>
        <w:t>申请人资格要求：</w:t>
      </w:r>
      <w:bookmarkEnd w:id="11"/>
    </w:p>
    <w:p w14:paraId="2A3CF72C">
      <w:pPr>
        <w:spacing w:line="360" w:lineRule="auto"/>
        <w:ind w:firstLine="420" w:firstLineChars="200"/>
        <w:rPr>
          <w:rFonts w:hint="eastAsia" w:ascii="宋体" w:hAnsi="宋体" w:cs="宋体"/>
          <w:szCs w:val="21"/>
        </w:rPr>
      </w:pPr>
      <w:r>
        <w:rPr>
          <w:rFonts w:hint="eastAsia" w:ascii="宋体" w:hAnsi="宋体" w:cs="宋体"/>
          <w:bCs/>
          <w:szCs w:val="21"/>
          <w:shd w:val="clear" w:color="auto" w:fill="FFFFFF"/>
        </w:rPr>
        <w:t>1、满足《中华人民共和国政府采购法》第二十二条规定；</w:t>
      </w:r>
    </w:p>
    <w:p w14:paraId="56EDDD0E">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2、落实政府采购政策满足的资格要求：</w:t>
      </w:r>
    </w:p>
    <w:p w14:paraId="329F4AD5">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根据《政府采购促进中小企业发展管理办法》（财库【2020】46号）的规定，本项目属于专门面向中小企业采购的项目。</w:t>
      </w:r>
    </w:p>
    <w:p w14:paraId="149E6DF8">
      <w:pPr>
        <w:widowControl/>
        <w:spacing w:before="0" w:beforeAutospacing="0" w:after="0" w:afterAutospacing="0" w:line="360" w:lineRule="auto"/>
        <w:ind w:left="420" w:left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3、本项目的特定资格要求</w:t>
      </w:r>
    </w:p>
    <w:p w14:paraId="14923F38">
      <w:pPr>
        <w:spacing w:line="360" w:lineRule="auto"/>
        <w:ind w:firstLine="420" w:firstLineChars="200"/>
        <w:rPr>
          <w:rFonts w:hint="eastAsia" w:ascii="宋体" w:hAnsi="宋体" w:cs="宋体"/>
          <w:szCs w:val="21"/>
        </w:rPr>
      </w:pPr>
      <w:r>
        <w:rPr>
          <w:rFonts w:hint="eastAsia" w:ascii="宋体" w:hAnsi="宋体" w:cs="宋体"/>
          <w:szCs w:val="21"/>
        </w:rPr>
        <w:t>3.1 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响应文件</w:t>
      </w:r>
      <w:r>
        <w:rPr>
          <w:rFonts w:hint="eastAsia" w:ascii="宋体" w:hAnsi="宋体" w:cs="宋体"/>
          <w:bCs/>
          <w:szCs w:val="21"/>
          <w:shd w:val="clear" w:color="auto" w:fill="FFFFFF"/>
        </w:rPr>
        <w:t>提交</w:t>
      </w:r>
      <w:r>
        <w:rPr>
          <w:rFonts w:hint="eastAsia" w:ascii="宋体" w:hAnsi="宋体" w:cs="宋体"/>
          <w:szCs w:val="21"/>
          <w:shd w:val="clear" w:color="auto" w:fill="FFFFFF"/>
        </w:rPr>
        <w:t>截止时间</w:t>
      </w:r>
      <w:r>
        <w:rPr>
          <w:rFonts w:hint="eastAsia" w:ascii="宋体" w:hAnsi="宋体" w:cs="宋体"/>
          <w:szCs w:val="21"/>
        </w:rPr>
        <w:t>）。</w:t>
      </w:r>
      <w:r>
        <w:rPr>
          <w:rFonts w:hint="eastAsia" w:ascii="宋体" w:hAnsi="宋体" w:cs="宋体"/>
          <w:color w:val="000000"/>
          <w:szCs w:val="21"/>
        </w:rPr>
        <w:t>在本公告规定的查询时间之后，网站信息发生的任何变更均不再作为评标依据。供应商自行提供的与网站信息不一致的其他证明材料亦不作为资格审查的依据。</w:t>
      </w:r>
      <w:r>
        <w:rPr>
          <w:rFonts w:hint="eastAsia" w:ascii="宋体" w:hAnsi="宋体" w:cs="宋体"/>
          <w:szCs w:val="21"/>
        </w:rPr>
        <w:t>信用信息查询记录和证据将同采购文件等资料一同归档保存。</w:t>
      </w:r>
    </w:p>
    <w:p w14:paraId="4B128CC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 单位负责人为同一人或者存在直接控股、管理关系的不同供应商，不得参加同一合同项下的政府采购活动。</w:t>
      </w:r>
    </w:p>
    <w:p w14:paraId="11EA047D">
      <w:pPr>
        <w:widowControl w:val="0"/>
        <w:autoSpaceDE w:val="0"/>
        <w:autoSpaceDN w:val="0"/>
        <w:adjustRightInd w:val="0"/>
        <w:spacing w:line="360" w:lineRule="auto"/>
        <w:ind w:firstLine="420" w:firstLineChars="20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3.3 资质要求：供应商须具有建设行政主管部门颁发的建筑装修装饰工程专业承包二级（含）及以上资质，并具有有效的安全生产许可证。</w:t>
      </w:r>
    </w:p>
    <w:p w14:paraId="52C9EDB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 项目经理资格要求：供应商拟派项目经理须具备建设行政主管部门颁发的建筑工程专业二级及以上注册建造师执业证书，同时具备建筑工程相关专业中级及以上技术职称和有效的安全生产考核证（B证），且为本企业正式员工，未担任其他在建工程项目的项目经理，提供劳动合同及近六个月（2024年1月-2024年6月）在本单位连续交纳的养老保险证明（以当地社保部门出具的查询明细表加盖社保部门印章或网络查询页为准，养老保险证明须是单位整体缴纳清单或个人缴费明细表）。</w:t>
      </w:r>
    </w:p>
    <w:p w14:paraId="727B5C2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3.5技术负责人：供应商拟派技术负责人须具备建筑工程相关专业中级及以上技术职称，为本企业正式员工，提供劳动合同及近六个月（2024年1月-2024年6月）在本单位连续交纳的养老保险证明（以当地社保部门出具的查询明细表加盖社保部门印章或网络查询页为准，养老保险证明须是单位整体缴纳清单或个人缴费明细表）。</w:t>
      </w:r>
    </w:p>
    <w:p w14:paraId="0AB3C70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3.6业绩要求：</w:t>
      </w:r>
    </w:p>
    <w:p w14:paraId="07D112C0">
      <w:pPr>
        <w:spacing w:line="360" w:lineRule="auto"/>
        <w:ind w:firstLine="420" w:firstLineChars="200"/>
        <w:rPr>
          <w:rFonts w:hint="eastAsia" w:ascii="宋体" w:hAnsi="宋体" w:cs="宋体"/>
          <w:szCs w:val="21"/>
        </w:rPr>
      </w:pPr>
      <w:r>
        <w:rPr>
          <w:rFonts w:hint="eastAsia" w:ascii="宋体" w:hAnsi="宋体" w:cs="宋体"/>
          <w:szCs w:val="21"/>
        </w:rPr>
        <w:t>3.6.1企业业绩：具有2021年1月1日以来（以竣工时间为准）类似工程施工业绩不少于1个，需提供成交网页截图、成交通知书、合同和竣工验收报告或竣工验收备案表原件扫描件。</w:t>
      </w:r>
    </w:p>
    <w:p w14:paraId="1F518300">
      <w:pPr>
        <w:spacing w:line="360" w:lineRule="auto"/>
        <w:ind w:firstLine="420" w:firstLineChars="200"/>
        <w:rPr>
          <w:rFonts w:hint="eastAsia" w:ascii="宋体" w:hAnsi="宋体" w:cs="宋体"/>
          <w:szCs w:val="21"/>
        </w:rPr>
      </w:pPr>
      <w:r>
        <w:rPr>
          <w:rFonts w:hint="eastAsia" w:ascii="宋体" w:hAnsi="宋体" w:cs="宋体"/>
          <w:szCs w:val="21"/>
        </w:rPr>
        <w:t>3.6.2项目经理业绩：供应商拟派项目经理具有2021年1月1日以来（以竣工时间为准）类似工程施工业绩不少于1个，需提供成交网页截图、成交通知书、合同和竣工验收报告或竣工验收备案表原件扫描件且需体现项目经理姓名（任意一项材料体现均可）。</w:t>
      </w:r>
    </w:p>
    <w:p w14:paraId="16D8C009">
      <w:pPr>
        <w:spacing w:line="360" w:lineRule="auto"/>
        <w:ind w:firstLine="420" w:firstLineChars="200"/>
        <w:rPr>
          <w:rFonts w:ascii="宋体" w:hAnsi="宋体" w:cs="宋体"/>
          <w:szCs w:val="21"/>
        </w:rPr>
      </w:pPr>
      <w:r>
        <w:rPr>
          <w:rFonts w:hint="eastAsia" w:ascii="宋体" w:hAnsi="宋体" w:cs="宋体"/>
          <w:szCs w:val="21"/>
        </w:rPr>
        <w:t>注：项目经理业绩和企业业绩不得重复。</w:t>
      </w:r>
    </w:p>
    <w:p w14:paraId="4EF5BBCD">
      <w:pPr>
        <w:spacing w:line="360" w:lineRule="auto"/>
        <w:ind w:firstLine="420" w:firstLineChars="200"/>
        <w:rPr>
          <w:rFonts w:hint="eastAsia" w:ascii="宋体" w:hAnsi="宋体" w:cs="宋体"/>
          <w:szCs w:val="21"/>
        </w:rPr>
      </w:pPr>
      <w:r>
        <w:rPr>
          <w:rFonts w:hint="eastAsia" w:ascii="宋体" w:hAnsi="宋体" w:cs="宋体"/>
          <w:szCs w:val="21"/>
        </w:rPr>
        <w:t>3.7供应商是企业法人的，应提供2023年度经审计的财务报告，包括“四表一注”，即资产负债表、利润表（损益表）、现金流量表、所有者权益变动表（所有者权益变动表如无，可不提供）及其附注或其基本开户银行出具的资信证明。部分其他组织和自然人，没有经审计的财务报告，可以提供银行出具的资信证明。供应商为事业单位的，至少应提供近一年的资产负债表。</w:t>
      </w:r>
    </w:p>
    <w:p w14:paraId="4449963D">
      <w:pPr>
        <w:spacing w:line="360" w:lineRule="auto"/>
        <w:ind w:firstLine="420" w:firstLineChars="200"/>
        <w:rPr>
          <w:rFonts w:hint="eastAsia" w:ascii="宋体" w:hAnsi="宋体" w:cs="宋体"/>
          <w:szCs w:val="21"/>
        </w:rPr>
      </w:pPr>
      <w:r>
        <w:rPr>
          <w:rFonts w:hint="eastAsia" w:ascii="宋体" w:hAnsi="宋体" w:cs="宋体"/>
          <w:szCs w:val="21"/>
        </w:rPr>
        <w:t>3.8供应商具有依法缴纳税收和社会保障资金的良好记录：提供2024年1月以来任意3个月的完税凭证和缴纳养老保险的凭据。</w:t>
      </w:r>
    </w:p>
    <w:p w14:paraId="17C02CA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3.9授权委托人要求：授权委托人须为本单位员工，提供劳动合同及近六个月（2024年1月-2024年6月）在本单位连续交纳的养老保险证明（以当地社保部门出具的查询明细表加盖社保部门印章或网络查询页为准，养老保险证明须是单位整体缴纳清单或个人缴费明细表）。</w:t>
      </w:r>
    </w:p>
    <w:p w14:paraId="31B63F0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3.10其他要求：供应商没有处于被责令停业、投标资格被取消，财产没有被接管、冻结、破产状态（供应商自行承诺，格式自拟）。</w:t>
      </w:r>
    </w:p>
    <w:p w14:paraId="521EEA34">
      <w:pPr>
        <w:keepNext w:val="0"/>
        <w:keepLines w:val="0"/>
        <w:widowControl/>
        <w:spacing w:before="0" w:after="0" w:line="360" w:lineRule="auto"/>
        <w:jc w:val="left"/>
        <w:outlineLvl w:val="1"/>
        <w:rPr>
          <w:rFonts w:hint="eastAsia" w:ascii="宋体" w:hAnsi="宋体" w:eastAsia="宋体" w:cs="宋体"/>
          <w:b/>
          <w:bCs/>
          <w:kern w:val="2"/>
          <w:sz w:val="21"/>
          <w:szCs w:val="21"/>
          <w:lang w:val="en-US" w:eastAsia="zh-CN" w:bidi="ar-SA"/>
        </w:rPr>
      </w:pPr>
      <w:bookmarkStart w:id="12" w:name="_Toc23395"/>
      <w:bookmarkStart w:id="13" w:name="_Toc30643"/>
      <w:bookmarkStart w:id="14" w:name="_Toc30971"/>
      <w:bookmarkStart w:id="15" w:name="_Toc7823"/>
      <w:bookmarkStart w:id="16" w:name="_Toc15072"/>
      <w:r>
        <w:rPr>
          <w:rFonts w:hint="eastAsia" w:ascii="宋体" w:hAnsi="宋体" w:eastAsia="宋体" w:cs="宋体"/>
          <w:b/>
          <w:bCs/>
          <w:kern w:val="2"/>
          <w:sz w:val="21"/>
          <w:szCs w:val="21"/>
          <w:shd w:val="clear" w:color="auto" w:fill="FFFFFF"/>
          <w:lang w:val="en-US" w:eastAsia="zh-CN" w:bidi="ar-SA"/>
        </w:rPr>
        <w:t>三、获取</w:t>
      </w:r>
      <w:bookmarkEnd w:id="12"/>
      <w:bookmarkEnd w:id="13"/>
      <w:bookmarkEnd w:id="14"/>
      <w:bookmarkEnd w:id="15"/>
      <w:r>
        <w:rPr>
          <w:rFonts w:hint="eastAsia" w:ascii="宋体" w:hAnsi="宋体" w:eastAsia="宋体" w:cs="宋体"/>
          <w:b/>
          <w:bCs/>
          <w:kern w:val="2"/>
          <w:sz w:val="21"/>
          <w:szCs w:val="21"/>
          <w:shd w:val="clear" w:color="auto" w:fill="FFFFFF"/>
          <w:lang w:val="en-US" w:eastAsia="zh-CN" w:bidi="ar-SA"/>
        </w:rPr>
        <w:t>采购文件</w:t>
      </w:r>
      <w:bookmarkEnd w:id="16"/>
    </w:p>
    <w:p w14:paraId="02CED048">
      <w:pPr>
        <w:widowControl/>
        <w:spacing w:before="0" w:beforeAutospacing="0" w:after="0" w:afterAutospacing="0" w:line="360" w:lineRule="auto"/>
        <w:ind w:firstLine="420" w:firstLineChars="200"/>
        <w:jc w:val="left"/>
        <w:rPr>
          <w:rFonts w:hint="eastAsia" w:ascii="宋体" w:hAnsi="宋体" w:eastAsia="宋体" w:cs="Times New Roman"/>
          <w:kern w:val="0"/>
          <w:sz w:val="18"/>
          <w:szCs w:val="18"/>
          <w:lang w:val="en-US" w:eastAsia="zh-CN" w:bidi="ar-SA"/>
        </w:rPr>
      </w:pPr>
      <w:r>
        <w:rPr>
          <w:rFonts w:hint="eastAsia" w:ascii="宋体" w:hAnsi="宋体" w:eastAsia="宋体" w:cs="宋体"/>
          <w:kern w:val="0"/>
          <w:sz w:val="21"/>
          <w:szCs w:val="21"/>
          <w:shd w:val="clear" w:color="auto" w:fill="FFFFFF"/>
          <w:lang w:val="en-US" w:eastAsia="zh-CN" w:bidi="ar-SA"/>
        </w:rPr>
        <w:t>1.时间：</w:t>
      </w:r>
      <w:r>
        <w:rPr>
          <w:rFonts w:hint="eastAsia" w:ascii="宋体" w:hAnsi="宋体" w:eastAsia="宋体" w:cs="宋体"/>
          <w:kern w:val="0"/>
          <w:sz w:val="21"/>
          <w:szCs w:val="21"/>
          <w:lang w:val="en-US" w:eastAsia="zh-CN" w:bidi="ar-SA"/>
        </w:rPr>
        <w:t>2024年7月25日至 2024年7月29日，每天上午00:00至12:00，下午12:00至23:59（北京时间，法定节假日除外。）</w:t>
      </w:r>
    </w:p>
    <w:p w14:paraId="6A01DCA8">
      <w:pPr>
        <w:widowControl/>
        <w:spacing w:before="0" w:beforeAutospacing="0" w:after="0" w:afterAutospacing="0"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shd w:val="clear" w:color="auto" w:fill="FFFFFF"/>
          <w:lang w:val="en-US" w:eastAsia="zh-CN" w:bidi="ar-SA"/>
        </w:rPr>
        <w:t>2.地点：使用CA数字证书登录河南省公共资源交易中心网站。</w:t>
      </w:r>
    </w:p>
    <w:p w14:paraId="208EC447">
      <w:pPr>
        <w:widowControl/>
        <w:wordWrap w:val="0"/>
        <w:spacing w:before="0" w:beforeAutospacing="0" w:after="0" w:afterAutospacing="0" w:line="360" w:lineRule="auto"/>
        <w:ind w:left="420" w:leftChars="200"/>
        <w:jc w:val="left"/>
        <w:rPr>
          <w:rFonts w:hint="eastAsia" w:ascii="宋体" w:hAnsi="宋体" w:eastAsia="宋体" w:cs="宋体"/>
          <w:kern w:val="0"/>
          <w:sz w:val="21"/>
          <w:szCs w:val="21"/>
          <w:shd w:val="clear" w:color="auto" w:fill="FFFFFF"/>
          <w:lang w:val="en-US" w:eastAsia="zh-CN" w:bidi="ar-SA"/>
        </w:rPr>
      </w:pPr>
      <w:bookmarkStart w:id="17" w:name="_Toc25869"/>
      <w:bookmarkStart w:id="18" w:name="_Toc15135"/>
      <w:bookmarkStart w:id="19" w:name="_Toc10738"/>
      <w:bookmarkStart w:id="20" w:name="_Toc15111"/>
      <w:bookmarkStart w:id="21" w:name="_Toc27480"/>
      <w:r>
        <w:rPr>
          <w:rFonts w:hint="eastAsia" w:ascii="宋体" w:hAnsi="宋体" w:eastAsia="宋体" w:cs="宋体"/>
          <w:kern w:val="0"/>
          <w:sz w:val="21"/>
          <w:szCs w:val="21"/>
          <w:shd w:val="clear" w:color="auto" w:fill="FFFFFF"/>
          <w:lang w:val="en-US" w:eastAsia="zh-CN" w:bidi="ar-SA"/>
        </w:rPr>
        <w:t>3.方式：“河南省公共资源交易中心（http://www.hnggzy.net/）”，凭企业身份认证锁（CA密钥）下载谈判文件。市场主体需要完成信息登记及 CA 数字证书办理，才能通过河南省公共资源交易平台参与交易活动，具体办理事宜请查阅河南省公共资源交易中心网站“办事指南”专区的《河南省公共资源交易平台市场主体信息库登记指南（工程建设、政府采购）》。</w:t>
      </w:r>
    </w:p>
    <w:p w14:paraId="64391D0A">
      <w:pPr>
        <w:widowControl/>
        <w:wordWrap w:val="0"/>
        <w:spacing w:before="0" w:beforeAutospacing="0" w:after="0" w:afterAutospacing="0" w:line="360" w:lineRule="auto"/>
        <w:ind w:firstLine="420" w:firstLineChars="200"/>
        <w:jc w:val="left"/>
        <w:rPr>
          <w:rFonts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4.售价：</w:t>
      </w:r>
      <w:r>
        <w:rPr>
          <w:rFonts w:hint="eastAsia" w:ascii="宋体" w:hAnsi="宋体" w:eastAsia="宋体" w:cs="宋体"/>
          <w:kern w:val="0"/>
          <w:sz w:val="21"/>
          <w:szCs w:val="21"/>
          <w:lang w:val="en-US" w:eastAsia="zh-CN" w:bidi="ar-SA"/>
        </w:rPr>
        <w:t>0</w:t>
      </w:r>
      <w:r>
        <w:rPr>
          <w:rFonts w:hint="eastAsia" w:ascii="宋体" w:hAnsi="宋体" w:eastAsia="宋体" w:cs="宋体"/>
          <w:kern w:val="0"/>
          <w:sz w:val="21"/>
          <w:szCs w:val="21"/>
          <w:shd w:val="clear" w:color="auto" w:fill="FFFFFF"/>
          <w:lang w:val="en-US" w:eastAsia="zh-CN" w:bidi="ar-SA"/>
        </w:rPr>
        <w:t>元。</w:t>
      </w:r>
    </w:p>
    <w:p w14:paraId="5CF6E20C">
      <w:pPr>
        <w:keepNext w:val="0"/>
        <w:keepLines w:val="0"/>
        <w:widowControl/>
        <w:spacing w:before="0" w:after="0" w:line="360" w:lineRule="auto"/>
        <w:jc w:val="left"/>
        <w:outlineLvl w:val="1"/>
        <w:rPr>
          <w:rFonts w:hint="eastAsia" w:ascii="宋体" w:hAnsi="宋体" w:eastAsia="宋体" w:cs="宋体"/>
          <w:b/>
          <w:bCs/>
          <w:kern w:val="2"/>
          <w:sz w:val="21"/>
          <w:szCs w:val="21"/>
          <w:lang w:val="en-US" w:eastAsia="zh-CN" w:bidi="ar-SA"/>
        </w:rPr>
      </w:pPr>
      <w:bookmarkStart w:id="22" w:name="_Toc14726"/>
      <w:r>
        <w:rPr>
          <w:rFonts w:hint="eastAsia" w:ascii="宋体" w:hAnsi="宋体" w:eastAsia="宋体" w:cs="宋体"/>
          <w:b/>
          <w:bCs/>
          <w:kern w:val="2"/>
          <w:sz w:val="21"/>
          <w:szCs w:val="21"/>
          <w:shd w:val="clear" w:color="auto" w:fill="FFFFFF"/>
          <w:lang w:val="en-US" w:eastAsia="zh-CN" w:bidi="ar-SA"/>
        </w:rPr>
        <w:t>四、</w:t>
      </w:r>
      <w:bookmarkEnd w:id="17"/>
      <w:bookmarkEnd w:id="18"/>
      <w:bookmarkEnd w:id="19"/>
      <w:bookmarkEnd w:id="20"/>
      <w:bookmarkEnd w:id="21"/>
      <w:r>
        <w:rPr>
          <w:rFonts w:hint="eastAsia" w:ascii="宋体" w:hAnsi="宋体" w:eastAsia="宋体" w:cs="宋体"/>
          <w:b/>
          <w:bCs/>
          <w:kern w:val="2"/>
          <w:sz w:val="21"/>
          <w:szCs w:val="21"/>
          <w:shd w:val="clear" w:color="auto" w:fill="FFFFFF"/>
          <w:lang w:val="en-US" w:eastAsia="zh-CN" w:bidi="ar-SA"/>
        </w:rPr>
        <w:t>响应文件提交</w:t>
      </w:r>
      <w:bookmarkEnd w:id="22"/>
    </w:p>
    <w:p w14:paraId="19A02AC2">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1.截止时间：2024年7月30日09时00分（北京时间）</w:t>
      </w:r>
    </w:p>
    <w:p w14:paraId="7B79A54C">
      <w:pPr>
        <w:widowControl/>
        <w:spacing w:before="0" w:beforeAutospacing="0" w:after="0" w:afterAutospacing="0"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shd w:val="clear" w:color="auto" w:fill="FFFFFF"/>
          <w:lang w:val="en-US" w:eastAsia="zh-CN" w:bidi="ar-SA"/>
        </w:rPr>
        <w:t>2.地点：加密电子响应文件（*.hntf 格式）应在投标截止时间前通过“河南省公共资源交易中心（http://www.hnggzy.net/）”电子交易平台加密上传；加密电子响应文件逾期上传的采购人不予受理。</w:t>
      </w:r>
    </w:p>
    <w:p w14:paraId="5187B65B">
      <w:pPr>
        <w:keepNext w:val="0"/>
        <w:keepLines w:val="0"/>
        <w:widowControl/>
        <w:spacing w:before="0" w:after="0" w:line="360" w:lineRule="auto"/>
        <w:jc w:val="left"/>
        <w:outlineLvl w:val="1"/>
        <w:rPr>
          <w:rFonts w:hint="eastAsia" w:ascii="宋体" w:hAnsi="宋体" w:eastAsia="宋体" w:cs="宋体"/>
          <w:b/>
          <w:bCs/>
          <w:kern w:val="2"/>
          <w:sz w:val="21"/>
          <w:szCs w:val="21"/>
          <w:lang w:val="en-US" w:eastAsia="zh-CN" w:bidi="ar-SA"/>
        </w:rPr>
      </w:pPr>
      <w:bookmarkStart w:id="23" w:name="_Toc18536"/>
      <w:bookmarkStart w:id="24" w:name="_Toc27882"/>
      <w:bookmarkStart w:id="25" w:name="_Toc23175"/>
      <w:bookmarkStart w:id="26" w:name="_Toc32183"/>
      <w:bookmarkStart w:id="27" w:name="_Toc20992"/>
      <w:bookmarkStart w:id="28" w:name="_Toc16006"/>
      <w:r>
        <w:rPr>
          <w:rFonts w:hint="eastAsia" w:ascii="宋体" w:hAnsi="宋体" w:eastAsia="宋体" w:cs="宋体"/>
          <w:b/>
          <w:bCs/>
          <w:kern w:val="2"/>
          <w:sz w:val="21"/>
          <w:szCs w:val="21"/>
          <w:shd w:val="clear" w:color="auto" w:fill="FFFFFF"/>
          <w:lang w:val="en-US" w:eastAsia="zh-CN" w:bidi="ar-SA"/>
        </w:rPr>
        <w:t>五、</w:t>
      </w:r>
      <w:bookmarkEnd w:id="23"/>
      <w:bookmarkEnd w:id="24"/>
      <w:bookmarkEnd w:id="25"/>
      <w:bookmarkEnd w:id="26"/>
      <w:bookmarkEnd w:id="27"/>
      <w:r>
        <w:rPr>
          <w:rFonts w:hint="eastAsia" w:ascii="宋体" w:hAnsi="宋体" w:eastAsia="宋体" w:cs="宋体"/>
          <w:b/>
          <w:bCs/>
          <w:kern w:val="2"/>
          <w:sz w:val="21"/>
          <w:szCs w:val="21"/>
          <w:shd w:val="clear" w:color="auto" w:fill="FFFFFF"/>
          <w:lang w:val="en-US" w:eastAsia="zh-CN" w:bidi="ar-SA"/>
        </w:rPr>
        <w:t>响应文件开启</w:t>
      </w:r>
      <w:bookmarkEnd w:id="28"/>
    </w:p>
    <w:p w14:paraId="173E5740">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1.时间：2024年7月30日09时00分（北京时间）</w:t>
      </w:r>
    </w:p>
    <w:p w14:paraId="7296635C">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2.地</w:t>
      </w:r>
      <w:r>
        <w:rPr>
          <w:rFonts w:hint="eastAsia" w:ascii="宋体" w:hAnsi="宋体" w:eastAsia="宋体" w:cs="宋体"/>
          <w:kern w:val="0"/>
          <w:sz w:val="21"/>
          <w:szCs w:val="21"/>
          <w:highlight w:val="none"/>
          <w:shd w:val="clear" w:color="auto" w:fill="FFFFFF"/>
          <w:lang w:val="en-US" w:eastAsia="zh-CN" w:bidi="ar-SA"/>
        </w:rPr>
        <w:t>点：河南省公共资源交易中心远程开标室(七)-3 （郑</w:t>
      </w:r>
      <w:r>
        <w:rPr>
          <w:rFonts w:hint="eastAsia" w:ascii="宋体" w:hAnsi="宋体" w:eastAsia="宋体" w:cs="宋体"/>
          <w:kern w:val="0"/>
          <w:sz w:val="21"/>
          <w:szCs w:val="21"/>
          <w:shd w:val="clear" w:color="auto" w:fill="FFFFFF"/>
          <w:lang w:val="en-US" w:eastAsia="zh-CN" w:bidi="ar-SA"/>
        </w:rPr>
        <w:t>州市经二路12号经二路与纬四路向南50米路西）；本项目采用“远程不见面”开标方式，远程开标大厅网址为www.hnggzyjy.cn。</w:t>
      </w:r>
    </w:p>
    <w:p w14:paraId="07E6E2F5">
      <w:pPr>
        <w:keepNext w:val="0"/>
        <w:keepLines w:val="0"/>
        <w:widowControl/>
        <w:spacing w:before="0" w:after="0" w:line="360" w:lineRule="auto"/>
        <w:jc w:val="left"/>
        <w:outlineLvl w:val="1"/>
        <w:rPr>
          <w:rFonts w:hint="eastAsia" w:ascii="宋体" w:hAnsi="宋体" w:eastAsia="宋体" w:cs="宋体"/>
          <w:b/>
          <w:bCs/>
          <w:kern w:val="2"/>
          <w:sz w:val="21"/>
          <w:szCs w:val="21"/>
          <w:lang w:val="en-US" w:eastAsia="zh-CN" w:bidi="ar-SA"/>
        </w:rPr>
      </w:pPr>
      <w:bookmarkStart w:id="29" w:name="_Toc16669"/>
      <w:bookmarkStart w:id="30" w:name="_Toc20287"/>
      <w:bookmarkStart w:id="31" w:name="_Toc27871"/>
      <w:bookmarkStart w:id="32" w:name="_Toc29784"/>
      <w:bookmarkStart w:id="33" w:name="_Toc6523"/>
      <w:bookmarkStart w:id="34" w:name="_Toc30918"/>
      <w:r>
        <w:rPr>
          <w:rFonts w:hint="eastAsia" w:ascii="宋体" w:hAnsi="宋体" w:eastAsia="宋体" w:cs="宋体"/>
          <w:b/>
          <w:bCs/>
          <w:kern w:val="2"/>
          <w:sz w:val="21"/>
          <w:szCs w:val="21"/>
          <w:shd w:val="clear" w:color="auto" w:fill="FFFFFF"/>
          <w:lang w:val="en-US" w:eastAsia="zh-CN" w:bidi="ar-SA"/>
        </w:rPr>
        <w:t>六、发布公告的媒介及招标公告期限</w:t>
      </w:r>
      <w:bookmarkEnd w:id="29"/>
      <w:bookmarkEnd w:id="30"/>
      <w:bookmarkEnd w:id="31"/>
      <w:bookmarkEnd w:id="32"/>
      <w:bookmarkEnd w:id="33"/>
      <w:bookmarkEnd w:id="34"/>
    </w:p>
    <w:p w14:paraId="447EBCEF">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本次招标公告在《河南省政府采购网》、</w:t>
      </w:r>
      <w:r>
        <w:rPr>
          <w:rFonts w:hint="eastAsia" w:ascii="宋体" w:hAnsi="宋体" w:eastAsia="宋体" w:cs="宋体"/>
          <w:kern w:val="0"/>
          <w:sz w:val="21"/>
          <w:szCs w:val="21"/>
          <w:lang w:val="en-US" w:eastAsia="zh-CN" w:bidi="ar-SA"/>
        </w:rPr>
        <w:t>《中国招标投标公共服务平台》、</w:t>
      </w:r>
      <w:r>
        <w:rPr>
          <w:rFonts w:hint="eastAsia" w:ascii="宋体" w:hAnsi="宋体" w:eastAsia="宋体" w:cs="宋体"/>
          <w:kern w:val="0"/>
          <w:sz w:val="21"/>
          <w:szCs w:val="21"/>
          <w:lang w:val="zh-CN" w:eastAsia="zh-CN" w:bidi="ar-SA"/>
        </w:rPr>
        <w:t>《河南省电子招标投标公共服务平台》、</w:t>
      </w:r>
      <w:r>
        <w:rPr>
          <w:rFonts w:hint="eastAsia" w:ascii="宋体" w:hAnsi="宋体" w:eastAsia="宋体" w:cs="宋体"/>
          <w:kern w:val="0"/>
          <w:sz w:val="21"/>
          <w:szCs w:val="21"/>
          <w:lang w:val="en-US" w:eastAsia="zh-CN" w:bidi="ar-SA"/>
        </w:rPr>
        <w:t>《河南理工大学校园网》、《恒信咨询网》</w:t>
      </w:r>
      <w:r>
        <w:rPr>
          <w:rFonts w:hint="eastAsia" w:ascii="宋体" w:hAnsi="宋体" w:eastAsia="宋体" w:cs="宋体"/>
          <w:kern w:val="0"/>
          <w:sz w:val="21"/>
          <w:szCs w:val="21"/>
          <w:shd w:val="clear" w:color="auto" w:fill="FFFFFF"/>
          <w:lang w:val="en-US" w:eastAsia="zh-CN" w:bidi="ar-SA"/>
        </w:rPr>
        <w:t>上发布，招标公告期限为三个工作日。</w:t>
      </w:r>
      <w:bookmarkStart w:id="35" w:name="_Toc35393626"/>
      <w:bookmarkStart w:id="36" w:name="_Toc35393795"/>
    </w:p>
    <w:p w14:paraId="6597471C">
      <w:pPr>
        <w:keepNext w:val="0"/>
        <w:keepLines w:val="0"/>
        <w:widowControl/>
        <w:spacing w:before="0" w:after="0" w:line="360" w:lineRule="auto"/>
        <w:jc w:val="left"/>
        <w:outlineLvl w:val="1"/>
        <w:rPr>
          <w:rFonts w:hint="eastAsia" w:ascii="宋体" w:hAnsi="宋体" w:eastAsia="宋体" w:cs="宋体"/>
          <w:b/>
          <w:bCs/>
          <w:kern w:val="2"/>
          <w:sz w:val="21"/>
          <w:szCs w:val="21"/>
          <w:shd w:val="clear" w:color="auto" w:fill="FFFFFF"/>
          <w:lang w:val="en-US" w:eastAsia="zh-CN" w:bidi="ar-SA"/>
        </w:rPr>
      </w:pPr>
      <w:bookmarkStart w:id="37" w:name="_Toc10552"/>
      <w:r>
        <w:rPr>
          <w:rFonts w:hint="eastAsia" w:ascii="宋体" w:hAnsi="宋体" w:eastAsia="宋体" w:cs="宋体"/>
          <w:b/>
          <w:bCs/>
          <w:kern w:val="2"/>
          <w:sz w:val="21"/>
          <w:szCs w:val="21"/>
          <w:shd w:val="clear" w:color="auto" w:fill="FFFFFF"/>
          <w:lang w:val="en-US" w:eastAsia="zh-CN" w:bidi="ar-SA"/>
        </w:rPr>
        <w:t>七、其他补充事宜</w:t>
      </w:r>
      <w:bookmarkEnd w:id="35"/>
      <w:bookmarkEnd w:id="36"/>
      <w:bookmarkEnd w:id="37"/>
    </w:p>
    <w:p w14:paraId="69A22D94">
      <w:pPr>
        <w:widowControl/>
        <w:tabs>
          <w:tab w:val="left" w:pos="840"/>
        </w:tabs>
        <w:spacing w:line="360" w:lineRule="auto"/>
        <w:ind w:firstLine="420" w:firstLineChars="200"/>
        <w:jc w:val="left"/>
        <w:rPr>
          <w:rFonts w:hint="eastAsia" w:ascii="宋体" w:hAnsi="宋体" w:cs="宋体"/>
          <w:szCs w:val="21"/>
          <w:shd w:val="clear" w:color="auto" w:fill="FFFFFF"/>
        </w:rPr>
      </w:pPr>
      <w:bookmarkStart w:id="38" w:name="_Toc24274"/>
      <w:bookmarkStart w:id="39" w:name="_Toc31928"/>
      <w:bookmarkStart w:id="40" w:name="_Toc16291"/>
      <w:bookmarkStart w:id="41" w:name="_Toc27370"/>
      <w:bookmarkStart w:id="42" w:name="_Toc3604"/>
      <w:r>
        <w:rPr>
          <w:rFonts w:hint="eastAsia" w:ascii="宋体" w:hAnsi="宋体" w:cs="宋体"/>
          <w:szCs w:val="21"/>
          <w:shd w:val="clear" w:color="auto" w:fill="FFFFFF"/>
        </w:rPr>
        <w:t>1.本项目执行促进中小型企业发展政策（监狱企业、残疾人福利性企业视同小微企业）、强制采购节能产品、优先采购节能环保产品等政府采购政策。</w:t>
      </w:r>
    </w:p>
    <w:p w14:paraId="3B1A08C2">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2.代理费用收取方式及标准：按照成交金额，按照《河南省招标代理服务收费指导意见》规定的收费标准计取，由成交人向采购代理机构支付代理服务费。</w:t>
      </w:r>
    </w:p>
    <w:p w14:paraId="7A735A81">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3.本项目采用“远程不见面”开标方式,网址（www.hnggzy.net）。供应商应当在响应文件开启前,登录远程开标大厅,在线准时参加开标活动并进行文件解密、答疑澄清等。</w:t>
      </w:r>
    </w:p>
    <w:p w14:paraId="2FEBE8F6">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不见面服务的具体事宜请查阅河南省公共资源交易中心网站“办事指南”专区的《河南省公共资源交易中心新交易平台使用手册》。本项目二次报价采用远程报价（二次报价有时间限制，供应商如在河南省公共资源交易中心系统规定时间内二次报价没有提交成功的，视为放弃二次报价）。</w:t>
      </w:r>
    </w:p>
    <w:p w14:paraId="5DEEB288">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5.本项目支持河南省政府采购合同融资政策。</w:t>
      </w:r>
    </w:p>
    <w:p w14:paraId="534AF8DA">
      <w:pPr>
        <w:widowControl/>
        <w:tabs>
          <w:tab w:val="left" w:pos="840"/>
        </w:tabs>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6.本项目采购的工程属于建筑业。</w:t>
      </w:r>
    </w:p>
    <w:p w14:paraId="6CCFDA2B">
      <w:pPr>
        <w:keepNext w:val="0"/>
        <w:keepLines w:val="0"/>
        <w:widowControl/>
        <w:spacing w:before="0" w:after="0" w:line="360" w:lineRule="auto"/>
        <w:jc w:val="left"/>
        <w:outlineLvl w:val="1"/>
        <w:rPr>
          <w:rFonts w:hint="eastAsia" w:ascii="宋体" w:hAnsi="宋体" w:eastAsia="宋体" w:cs="宋体"/>
          <w:b/>
          <w:bCs/>
          <w:kern w:val="2"/>
          <w:sz w:val="21"/>
          <w:szCs w:val="21"/>
          <w:lang w:val="en-US" w:eastAsia="zh-CN" w:bidi="ar-SA"/>
        </w:rPr>
      </w:pPr>
      <w:bookmarkStart w:id="43" w:name="_Toc24496"/>
      <w:r>
        <w:rPr>
          <w:rFonts w:hint="eastAsia" w:ascii="宋体" w:hAnsi="宋体" w:eastAsia="宋体" w:cs="宋体"/>
          <w:b/>
          <w:bCs/>
          <w:kern w:val="2"/>
          <w:sz w:val="21"/>
          <w:szCs w:val="21"/>
          <w:shd w:val="clear" w:color="auto" w:fill="FFFFFF"/>
          <w:lang w:val="en-US" w:eastAsia="zh-CN" w:bidi="ar-SA"/>
        </w:rPr>
        <w:t>八、</w:t>
      </w:r>
      <w:bookmarkEnd w:id="38"/>
      <w:bookmarkEnd w:id="39"/>
      <w:bookmarkEnd w:id="40"/>
      <w:bookmarkEnd w:id="41"/>
      <w:bookmarkEnd w:id="42"/>
      <w:r>
        <w:rPr>
          <w:rFonts w:hint="eastAsia" w:ascii="宋体" w:hAnsi="宋体" w:eastAsia="宋体" w:cs="宋体"/>
          <w:b/>
          <w:bCs/>
          <w:kern w:val="2"/>
          <w:sz w:val="21"/>
          <w:szCs w:val="21"/>
          <w:shd w:val="clear" w:color="auto" w:fill="FFFFFF"/>
          <w:lang w:val="en-US" w:eastAsia="zh-CN" w:bidi="ar-SA"/>
        </w:rPr>
        <w:t>凡对本次招标提出询问，请按照以下方式联系</w:t>
      </w:r>
      <w:bookmarkEnd w:id="43"/>
    </w:p>
    <w:p w14:paraId="5FA8FF9B">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1.采购人信息</w:t>
      </w:r>
    </w:p>
    <w:p w14:paraId="16857B7F">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名称：河南理工大学</w:t>
      </w:r>
    </w:p>
    <w:p w14:paraId="06BAB462">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地址：河南省焦作市世纪大道2001号</w:t>
      </w:r>
      <w:bookmarkStart w:id="44" w:name="_GoBack"/>
      <w:bookmarkEnd w:id="44"/>
    </w:p>
    <w:p w14:paraId="0F2D6DB9">
      <w:pPr>
        <w:widowControl/>
        <w:spacing w:before="0" w:beforeAutospacing="0" w:after="0" w:afterAutospacing="0" w:line="360" w:lineRule="auto"/>
        <w:ind w:firstLine="420" w:firstLineChars="200"/>
        <w:jc w:val="left"/>
        <w:rPr>
          <w:rFonts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联系人：高老师、韩老师</w:t>
      </w:r>
    </w:p>
    <w:p w14:paraId="417B311D">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 xml:space="preserve">联系方式：0391-3987075   </w:t>
      </w:r>
    </w:p>
    <w:p w14:paraId="39E37972">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2.采购代理机构信息（如有）</w:t>
      </w:r>
    </w:p>
    <w:p w14:paraId="7F78F36C">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名称：恒信咨询管理有限公司</w:t>
      </w:r>
    </w:p>
    <w:p w14:paraId="5C3F2833">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地址：郑州市电厂路河南省国家大学科技园（东区）16号楼B座6楼</w:t>
      </w:r>
    </w:p>
    <w:p w14:paraId="0D60195B">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联系人：李罗丹、郭甜艳</w:t>
      </w:r>
    </w:p>
    <w:p w14:paraId="646166F9">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联系方式：0371-86688491转622</w:t>
      </w:r>
    </w:p>
    <w:p w14:paraId="0D9FCBFD">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3.项目联系方式</w:t>
      </w:r>
    </w:p>
    <w:p w14:paraId="630B7E9A">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项目联系人：李罗丹</w:t>
      </w:r>
    </w:p>
    <w:p w14:paraId="043F6869">
      <w:pPr>
        <w:widowControl/>
        <w:spacing w:before="0" w:beforeAutospacing="0" w:after="0" w:afterAutospacing="0" w:line="360" w:lineRule="auto"/>
        <w:ind w:firstLine="420" w:firstLineChars="2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联系方式：0371-86688491转622</w:t>
      </w:r>
    </w:p>
    <w:p w14:paraId="1838A052"/>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1E6B0"/>
    <w:multiLevelType w:val="singleLevel"/>
    <w:tmpl w:val="1001E6B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1E16646B"/>
    <w:rsid w:val="1E1735DF"/>
    <w:rsid w:val="61D4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3463</Words>
  <Characters>3960</Characters>
  <Lines>0</Lines>
  <Paragraphs>0</Paragraphs>
  <TotalTime>0</TotalTime>
  <ScaleCrop>false</ScaleCrop>
  <LinksUpToDate>false</LinksUpToDate>
  <CharactersWithSpaces>3985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2024-07-24T08:25:00Z</dcterms:created>
  <dc:creator>郭甜艳</dc:creator>
  <cp:lastModifiedBy>july</cp:lastModifiedBy>
  <dcterms:modified xsi:type="dcterms:W3CDTF">2024-07-24T08:53:59Z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5230E4362DDF45CC9CDCF4AC0AE0B338_12</vt:lpwstr>
  </property>
</Properties>
</file>