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A8" w:rsidRPr="00CC42A8" w:rsidRDefault="00CC42A8" w:rsidP="00CC42A8">
      <w:pPr>
        <w:adjustRightInd w:val="0"/>
        <w:spacing w:line="360" w:lineRule="auto"/>
        <w:ind w:firstLineChars="200" w:firstLine="720"/>
        <w:jc w:val="center"/>
        <w:rPr>
          <w:rFonts w:ascii="方正小标宋简体" w:eastAsia="方正小标宋简体" w:hAnsi="Calibri Light" w:hint="eastAsia"/>
          <w:bCs/>
          <w:sz w:val="36"/>
          <w:szCs w:val="36"/>
        </w:rPr>
      </w:pPr>
      <w:r w:rsidRPr="00CC42A8">
        <w:rPr>
          <w:rFonts w:ascii="方正小标宋简体" w:eastAsia="方正小标宋简体" w:hAnsi="Calibri Light" w:hint="eastAsia"/>
          <w:bCs/>
          <w:sz w:val="36"/>
          <w:szCs w:val="36"/>
        </w:rPr>
        <w:t>河南理工大学新校区</w:t>
      </w:r>
      <w:proofErr w:type="gramStart"/>
      <w:r w:rsidRPr="00CC42A8">
        <w:rPr>
          <w:rFonts w:ascii="方正小标宋简体" w:eastAsia="方正小标宋简体" w:hAnsi="Calibri Light" w:hint="eastAsia"/>
          <w:bCs/>
          <w:sz w:val="36"/>
          <w:szCs w:val="36"/>
        </w:rPr>
        <w:t>电梯维保服务</w:t>
      </w:r>
      <w:proofErr w:type="gramEnd"/>
      <w:r w:rsidRPr="00CC42A8">
        <w:rPr>
          <w:rFonts w:ascii="方正小标宋简体" w:eastAsia="方正小标宋简体" w:hAnsi="Calibri Light" w:hint="eastAsia"/>
          <w:bCs/>
          <w:sz w:val="36"/>
          <w:szCs w:val="36"/>
        </w:rPr>
        <w:t>竞争性谈判公告</w:t>
      </w:r>
    </w:p>
    <w:p w:rsidR="00CC42A8" w:rsidRDefault="00CC42A8" w:rsidP="00CC42A8">
      <w:pPr>
        <w:adjustRightInd w:val="0"/>
        <w:spacing w:line="360" w:lineRule="auto"/>
        <w:ind w:firstLineChars="200" w:firstLine="560"/>
        <w:jc w:val="left"/>
        <w:rPr>
          <w:rFonts w:ascii="仿宋_GB2312" w:eastAsia="仿宋_GB2312" w:hAnsi="宋体" w:cs="仿宋_GB2312" w:hint="eastAsia"/>
          <w:color w:val="000000"/>
          <w:sz w:val="28"/>
          <w:szCs w:val="28"/>
        </w:rPr>
      </w:pP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仿宋_GB2312" w:hint="eastAsia"/>
          <w:sz w:val="28"/>
          <w:szCs w:val="28"/>
        </w:rPr>
      </w:pPr>
      <w:r w:rsidRPr="00CC42A8">
        <w:rPr>
          <w:rFonts w:ascii="仿宋_GB2312" w:eastAsia="仿宋_GB2312" w:hAnsi="宋体" w:cs="仿宋_GB2312" w:hint="eastAsia"/>
          <w:color w:val="000000"/>
          <w:sz w:val="28"/>
          <w:szCs w:val="28"/>
        </w:rPr>
        <w:t>河南理工大学新校区学教区</w:t>
      </w:r>
      <w:proofErr w:type="gramStart"/>
      <w:r w:rsidRPr="00CC42A8">
        <w:rPr>
          <w:rFonts w:ascii="仿宋_GB2312" w:eastAsia="仿宋_GB2312" w:hAnsi="宋体" w:cs="仿宋_GB2312" w:hint="eastAsia"/>
          <w:color w:val="000000"/>
          <w:sz w:val="28"/>
          <w:szCs w:val="28"/>
        </w:rPr>
        <w:t>电梯维保服务</w:t>
      </w:r>
      <w:proofErr w:type="gramEnd"/>
      <w:r w:rsidRPr="00CC42A8">
        <w:rPr>
          <w:rFonts w:ascii="仿宋_GB2312" w:eastAsia="仿宋_GB2312" w:hAnsi="宋体" w:cs="仿宋_GB2312" w:hint="eastAsia"/>
          <w:color w:val="000000"/>
          <w:sz w:val="28"/>
          <w:szCs w:val="28"/>
        </w:rPr>
        <w:t>项目竞争性谈判，本着公平、公正、公开和诚信的原则，诚邀符合资格要求且有责任事故承担能力的单位参加竞争性谈判，欢迎符合条件的投标单位报名。</w:t>
      </w:r>
    </w:p>
    <w:p w:rsidR="00CC42A8" w:rsidRPr="00CC42A8" w:rsidRDefault="00CC42A8" w:rsidP="00CC42A8">
      <w:pPr>
        <w:ind w:firstLineChars="200" w:firstLine="562"/>
        <w:jc w:val="left"/>
        <w:rPr>
          <w:rFonts w:ascii="仿宋_GB2312" w:eastAsia="仿宋_GB2312" w:hAnsi="仿宋" w:cs="仿宋_GB2312" w:hint="eastAsia"/>
          <w:b/>
          <w:color w:val="000000"/>
          <w:sz w:val="28"/>
          <w:szCs w:val="28"/>
        </w:rPr>
      </w:pPr>
      <w:r w:rsidRPr="00CC42A8">
        <w:rPr>
          <w:rFonts w:ascii="仿宋_GB2312" w:eastAsia="仿宋_GB2312" w:hAnsi="仿宋" w:cs="仿宋_GB2312" w:hint="eastAsia"/>
          <w:b/>
          <w:color w:val="444444"/>
          <w:sz w:val="28"/>
          <w:szCs w:val="28"/>
        </w:rPr>
        <w:t>一、</w:t>
      </w:r>
      <w:r w:rsidRPr="00CC42A8">
        <w:rPr>
          <w:rFonts w:ascii="仿宋_GB2312" w:eastAsia="仿宋_GB2312" w:hAnsi="仿宋" w:cs="仿宋_GB2312" w:hint="eastAsia"/>
          <w:b/>
          <w:color w:val="000000"/>
          <w:sz w:val="28"/>
          <w:szCs w:val="28"/>
        </w:rPr>
        <w:t>项目名称及项目概况：</w:t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仿宋_GB2312" w:hint="eastAsia"/>
          <w:color w:val="000000"/>
          <w:sz w:val="28"/>
          <w:szCs w:val="28"/>
        </w:rPr>
      </w:pPr>
      <w:r w:rsidRPr="00CC42A8">
        <w:rPr>
          <w:rFonts w:ascii="仿宋_GB2312" w:eastAsia="仿宋_GB2312" w:hAnsi="宋体" w:cs="仿宋_GB2312" w:hint="eastAsia"/>
          <w:color w:val="000000"/>
          <w:sz w:val="28"/>
          <w:szCs w:val="28"/>
        </w:rPr>
        <w:t>1.项目名称：河南理工大学新校区学教区</w:t>
      </w:r>
      <w:proofErr w:type="gramStart"/>
      <w:r w:rsidRPr="00CC42A8">
        <w:rPr>
          <w:rFonts w:ascii="仿宋_GB2312" w:eastAsia="仿宋_GB2312" w:hAnsi="宋体" w:cs="仿宋_GB2312" w:hint="eastAsia"/>
          <w:color w:val="000000"/>
          <w:sz w:val="28"/>
          <w:szCs w:val="28"/>
        </w:rPr>
        <w:t>电梯维保服务</w:t>
      </w:r>
      <w:proofErr w:type="gramEnd"/>
      <w:r w:rsidRPr="00CC42A8">
        <w:rPr>
          <w:rFonts w:ascii="仿宋_GB2312" w:eastAsia="仿宋_GB2312" w:hAnsi="宋体" w:cs="仿宋_GB2312" w:hint="eastAsia"/>
          <w:color w:val="000000"/>
          <w:sz w:val="28"/>
          <w:szCs w:val="28"/>
        </w:rPr>
        <w:t>；</w:t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仿宋_GB2312" w:hint="eastAsia"/>
          <w:color w:val="000000"/>
          <w:sz w:val="28"/>
          <w:szCs w:val="28"/>
        </w:rPr>
      </w:pPr>
      <w:r w:rsidRPr="00CC42A8">
        <w:rPr>
          <w:rFonts w:ascii="仿宋_GB2312" w:eastAsia="仿宋_GB2312" w:hAnsi="宋体" w:cs="仿宋_GB2312" w:hint="eastAsia"/>
          <w:color w:val="000000"/>
          <w:sz w:val="28"/>
          <w:szCs w:val="28"/>
        </w:rPr>
        <w:t>2.项目现状：</w:t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仿宋_GB2312" w:hint="eastAsia"/>
          <w:color w:val="000000"/>
          <w:sz w:val="28"/>
          <w:szCs w:val="28"/>
        </w:rPr>
      </w:pPr>
      <w:r w:rsidRPr="00CC42A8">
        <w:rPr>
          <w:rFonts w:ascii="仿宋_GB2312" w:eastAsia="仿宋_GB2312" w:hAnsi="宋体" w:cs="仿宋_GB2312" w:hint="eastAsia"/>
          <w:color w:val="000000"/>
          <w:sz w:val="28"/>
          <w:szCs w:val="28"/>
        </w:rPr>
        <w:t>河南理工大学南校区学教区</w:t>
      </w:r>
      <w:proofErr w:type="gramStart"/>
      <w:r w:rsidRPr="00CC42A8">
        <w:rPr>
          <w:rFonts w:ascii="仿宋_GB2312" w:eastAsia="仿宋_GB2312" w:hAnsi="宋体" w:cs="仿宋_GB2312" w:hint="eastAsia"/>
          <w:color w:val="000000"/>
          <w:sz w:val="28"/>
          <w:szCs w:val="28"/>
        </w:rPr>
        <w:t>需要维保的</w:t>
      </w:r>
      <w:proofErr w:type="gramEnd"/>
      <w:r w:rsidRPr="00CC42A8">
        <w:rPr>
          <w:rFonts w:ascii="仿宋_GB2312" w:eastAsia="仿宋_GB2312" w:hAnsi="宋体" w:cs="仿宋_GB2312" w:hint="eastAsia"/>
          <w:color w:val="000000"/>
          <w:sz w:val="28"/>
          <w:szCs w:val="28"/>
        </w:rPr>
        <w:t>电梯现状如下表所示，表中共计给出了8部电梯的品牌、启用时间、使用地点等信息。</w:t>
      </w:r>
    </w:p>
    <w:tbl>
      <w:tblPr>
        <w:tblW w:w="8555" w:type="dxa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2"/>
        <w:gridCol w:w="2081"/>
        <w:gridCol w:w="2081"/>
        <w:gridCol w:w="2081"/>
      </w:tblGrid>
      <w:tr w:rsidR="00CC42A8" w:rsidRPr="00CC42A8" w:rsidTr="00CC42A8">
        <w:trPr>
          <w:trHeight w:val="624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2A8" w:rsidRPr="00CC42A8" w:rsidRDefault="00CC42A8" w:rsidP="00CC42A8">
            <w:pPr>
              <w:ind w:firstLine="200"/>
              <w:jc w:val="left"/>
              <w:rPr>
                <w:rFonts w:ascii="仿宋_GB2312" w:eastAsia="仿宋_GB2312" w:hAnsi="仿宋" w:cs="仿宋_GB2312" w:hint="eastAsia"/>
                <w:b/>
                <w:bCs/>
                <w:color w:val="000000"/>
                <w:sz w:val="28"/>
                <w:szCs w:val="28"/>
              </w:rPr>
            </w:pPr>
            <w:r w:rsidRPr="00CC42A8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8"/>
                <w:szCs w:val="28"/>
              </w:rPr>
              <w:t>使用地点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2A8" w:rsidRPr="00CC42A8" w:rsidRDefault="00CC42A8" w:rsidP="00CC42A8">
            <w:pPr>
              <w:ind w:firstLine="200"/>
              <w:jc w:val="left"/>
              <w:rPr>
                <w:rFonts w:ascii="仿宋_GB2312" w:eastAsia="仿宋_GB2312" w:hAnsi="仿宋" w:cs="仿宋_GB2312" w:hint="eastAsia"/>
                <w:b/>
                <w:bCs/>
                <w:color w:val="000000"/>
                <w:sz w:val="28"/>
                <w:szCs w:val="28"/>
              </w:rPr>
            </w:pPr>
            <w:r w:rsidRPr="00CC42A8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8"/>
                <w:szCs w:val="28"/>
              </w:rPr>
              <w:t>电梯品牌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2A8" w:rsidRPr="00CC42A8" w:rsidRDefault="00CC42A8" w:rsidP="00CC42A8">
            <w:pPr>
              <w:ind w:firstLine="200"/>
              <w:jc w:val="left"/>
              <w:rPr>
                <w:rFonts w:ascii="仿宋_GB2312" w:eastAsia="仿宋_GB2312" w:hAnsi="仿宋" w:cs="仿宋_GB2312" w:hint="eastAsia"/>
                <w:b/>
                <w:bCs/>
                <w:color w:val="000000"/>
                <w:sz w:val="28"/>
                <w:szCs w:val="28"/>
              </w:rPr>
            </w:pPr>
            <w:r w:rsidRPr="00CC42A8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8"/>
                <w:szCs w:val="28"/>
              </w:rPr>
              <w:t>启用时间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2A8" w:rsidRPr="00CC42A8" w:rsidRDefault="00CC42A8" w:rsidP="00CC42A8">
            <w:pPr>
              <w:ind w:firstLine="200"/>
              <w:jc w:val="left"/>
              <w:rPr>
                <w:rFonts w:ascii="仿宋_GB2312" w:eastAsia="仿宋_GB2312" w:hAnsi="仿宋" w:cs="仿宋_GB2312" w:hint="eastAsia"/>
                <w:b/>
                <w:bCs/>
                <w:color w:val="000000"/>
                <w:sz w:val="28"/>
                <w:szCs w:val="28"/>
              </w:rPr>
            </w:pPr>
            <w:r w:rsidRPr="00CC42A8">
              <w:rPr>
                <w:rFonts w:ascii="仿宋_GB2312" w:eastAsia="仿宋_GB2312" w:hAnsi="仿宋" w:cs="仿宋_GB2312" w:hint="eastAsia"/>
                <w:b/>
                <w:bCs/>
                <w:color w:val="000000"/>
                <w:sz w:val="28"/>
                <w:szCs w:val="28"/>
              </w:rPr>
              <w:t>数量</w:t>
            </w:r>
          </w:p>
        </w:tc>
      </w:tr>
      <w:tr w:rsidR="00CC42A8" w:rsidRPr="00CC42A8" w:rsidTr="00CC42A8">
        <w:trPr>
          <w:trHeight w:val="624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2A8" w:rsidRPr="00CC42A8" w:rsidRDefault="00CC42A8" w:rsidP="00CC42A8">
            <w:pPr>
              <w:ind w:firstLine="200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 w:rsidRPr="00CC42A8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综合实验大楼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2A8" w:rsidRPr="00CC42A8" w:rsidRDefault="00CC42A8" w:rsidP="00CC42A8">
            <w:pPr>
              <w:ind w:firstLine="200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 w:rsidRPr="00CC42A8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蒂森克虏伯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2A8" w:rsidRPr="00CC42A8" w:rsidRDefault="00CC42A8" w:rsidP="00CC42A8">
            <w:pPr>
              <w:ind w:firstLine="200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 w:rsidRPr="00CC42A8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2018.08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2A8" w:rsidRPr="00CC42A8" w:rsidRDefault="00CC42A8" w:rsidP="00CC42A8">
            <w:pPr>
              <w:ind w:firstLine="200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 w:rsidRPr="00CC42A8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3</w:t>
            </w:r>
          </w:p>
        </w:tc>
      </w:tr>
      <w:tr w:rsidR="00CC42A8" w:rsidRPr="00CC42A8" w:rsidTr="00CC42A8">
        <w:trPr>
          <w:trHeight w:val="624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2A8" w:rsidRPr="00CC42A8" w:rsidRDefault="00CC42A8" w:rsidP="00CC42A8">
            <w:pPr>
              <w:ind w:firstLine="200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proofErr w:type="gramStart"/>
            <w:r w:rsidRPr="00CC42A8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数信学院</w:t>
            </w:r>
            <w:proofErr w:type="gram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2A8" w:rsidRPr="00CC42A8" w:rsidRDefault="00CC42A8" w:rsidP="00CC42A8">
            <w:pPr>
              <w:ind w:firstLine="200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 w:rsidRPr="00CC42A8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奥的斯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2A8" w:rsidRPr="00CC42A8" w:rsidRDefault="00CC42A8" w:rsidP="00CC42A8">
            <w:pPr>
              <w:ind w:firstLine="200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 w:rsidRPr="00CC42A8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2009.09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2A8" w:rsidRPr="00CC42A8" w:rsidRDefault="00CC42A8" w:rsidP="00CC42A8">
            <w:pPr>
              <w:ind w:firstLine="200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 w:rsidRPr="00CC42A8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1</w:t>
            </w:r>
          </w:p>
        </w:tc>
      </w:tr>
      <w:tr w:rsidR="00CC42A8" w:rsidRPr="00CC42A8" w:rsidTr="00CC42A8">
        <w:trPr>
          <w:trHeight w:val="624"/>
          <w:jc w:val="center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2A8" w:rsidRPr="00CC42A8" w:rsidRDefault="00CC42A8" w:rsidP="00CC42A8">
            <w:pPr>
              <w:ind w:firstLine="200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 w:rsidRPr="00CC42A8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3#教学楼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2A8" w:rsidRPr="00CC42A8" w:rsidRDefault="00CC42A8" w:rsidP="00CC42A8">
            <w:pPr>
              <w:ind w:firstLine="200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 w:rsidRPr="00CC42A8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奥的斯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2A8" w:rsidRPr="00CC42A8" w:rsidRDefault="00CC42A8" w:rsidP="00CC42A8">
            <w:pPr>
              <w:ind w:firstLine="200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 w:rsidRPr="00CC42A8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2009.09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42A8" w:rsidRPr="00CC42A8" w:rsidRDefault="00CC42A8" w:rsidP="00CC42A8">
            <w:pPr>
              <w:ind w:firstLine="200"/>
              <w:jc w:val="center"/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</w:pPr>
            <w:r w:rsidRPr="00CC42A8"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4</w:t>
            </w:r>
          </w:p>
        </w:tc>
      </w:tr>
    </w:tbl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仿宋_GB2312" w:hint="eastAsia"/>
          <w:color w:val="000000"/>
          <w:sz w:val="28"/>
          <w:szCs w:val="28"/>
        </w:rPr>
      </w:pPr>
      <w:r w:rsidRPr="00CC42A8">
        <w:rPr>
          <w:rFonts w:ascii="仿宋_GB2312" w:eastAsia="仿宋_GB2312" w:hAnsi="宋体" w:cs="仿宋_GB2312" w:hint="eastAsia"/>
          <w:color w:val="000000"/>
          <w:sz w:val="28"/>
          <w:szCs w:val="28"/>
        </w:rPr>
        <w:t>3.</w:t>
      </w:r>
      <w:proofErr w:type="gramStart"/>
      <w:r w:rsidRPr="00CC42A8">
        <w:rPr>
          <w:rFonts w:ascii="仿宋_GB2312" w:eastAsia="仿宋_GB2312" w:hAnsi="宋体" w:cs="仿宋_GB2312" w:hint="eastAsia"/>
          <w:color w:val="000000"/>
          <w:sz w:val="28"/>
          <w:szCs w:val="28"/>
        </w:rPr>
        <w:t>维保周期</w:t>
      </w:r>
      <w:proofErr w:type="gramEnd"/>
      <w:r w:rsidRPr="00CC42A8">
        <w:rPr>
          <w:rFonts w:ascii="仿宋_GB2312" w:eastAsia="仿宋_GB2312" w:hAnsi="宋体" w:cs="仿宋_GB2312" w:hint="eastAsia"/>
          <w:color w:val="000000"/>
          <w:sz w:val="28"/>
          <w:szCs w:val="28"/>
        </w:rPr>
        <w:t>：2021年1月1日-2021年12月31日</w:t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仿宋_GB2312" w:hint="eastAsia"/>
          <w:color w:val="000000"/>
          <w:sz w:val="28"/>
          <w:szCs w:val="28"/>
        </w:rPr>
      </w:pPr>
      <w:r w:rsidRPr="00CC42A8">
        <w:rPr>
          <w:rFonts w:ascii="仿宋_GB2312" w:eastAsia="仿宋_GB2312" w:hAnsi="宋体" w:cs="仿宋_GB2312" w:hint="eastAsia"/>
          <w:color w:val="000000"/>
          <w:sz w:val="28"/>
          <w:szCs w:val="28"/>
        </w:rPr>
        <w:t>4.标段划分：本项目共设一个标段。</w:t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仿宋_GB2312" w:hint="eastAsia"/>
          <w:color w:val="000000"/>
          <w:sz w:val="28"/>
          <w:szCs w:val="28"/>
        </w:rPr>
      </w:pPr>
      <w:r w:rsidRPr="00CC42A8">
        <w:rPr>
          <w:rFonts w:ascii="仿宋_GB2312" w:eastAsia="仿宋_GB2312" w:hAnsi="宋体" w:cs="仿宋_GB2312" w:hint="eastAsia"/>
          <w:color w:val="000000"/>
          <w:sz w:val="28"/>
          <w:szCs w:val="28"/>
        </w:rPr>
        <w:t>5.项目预算金额：67200元。</w:t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仿宋_GB2312" w:hint="eastAsia"/>
          <w:color w:val="000000"/>
          <w:sz w:val="28"/>
          <w:szCs w:val="28"/>
        </w:rPr>
      </w:pPr>
      <w:r w:rsidRPr="00CC42A8">
        <w:rPr>
          <w:rFonts w:ascii="仿宋_GB2312" w:eastAsia="仿宋_GB2312" w:hAnsi="宋体" w:cs="仿宋_GB2312" w:hint="eastAsia"/>
          <w:color w:val="000000"/>
          <w:sz w:val="28"/>
          <w:szCs w:val="28"/>
        </w:rPr>
        <w:t>6.本次谈判不接受联合体竞标，不允许分包。</w:t>
      </w:r>
    </w:p>
    <w:p w:rsidR="00CC42A8" w:rsidRPr="00CC42A8" w:rsidRDefault="00CC42A8" w:rsidP="00CC42A8">
      <w:pPr>
        <w:ind w:firstLineChars="200" w:firstLine="562"/>
        <w:jc w:val="left"/>
        <w:rPr>
          <w:rFonts w:ascii="仿宋_GB2312" w:eastAsia="仿宋_GB2312" w:hAnsi="仿宋" w:cs="仿宋_GB2312" w:hint="eastAsia"/>
          <w:b/>
          <w:color w:val="000000"/>
          <w:sz w:val="28"/>
          <w:szCs w:val="28"/>
        </w:rPr>
      </w:pPr>
      <w:r w:rsidRPr="00CC42A8">
        <w:rPr>
          <w:rFonts w:ascii="仿宋_GB2312" w:eastAsia="仿宋_GB2312" w:hAnsi="仿宋" w:cs="仿宋_GB2312" w:hint="eastAsia"/>
          <w:b/>
          <w:color w:val="000000"/>
          <w:sz w:val="28"/>
          <w:szCs w:val="28"/>
        </w:rPr>
        <w:t>二、</w:t>
      </w:r>
      <w:proofErr w:type="gramStart"/>
      <w:r w:rsidRPr="00CC42A8">
        <w:rPr>
          <w:rFonts w:ascii="仿宋_GB2312" w:eastAsia="仿宋_GB2312" w:hAnsi="仿宋" w:cs="仿宋_GB2312" w:hint="eastAsia"/>
          <w:b/>
          <w:color w:val="000000"/>
          <w:sz w:val="28"/>
          <w:szCs w:val="28"/>
        </w:rPr>
        <w:t>维保服务</w:t>
      </w:r>
      <w:proofErr w:type="gramEnd"/>
      <w:r w:rsidRPr="00CC42A8">
        <w:rPr>
          <w:rFonts w:ascii="仿宋_GB2312" w:eastAsia="仿宋_GB2312" w:hAnsi="仿宋" w:cs="仿宋_GB2312" w:hint="eastAsia"/>
          <w:b/>
          <w:color w:val="000000"/>
          <w:sz w:val="28"/>
          <w:szCs w:val="28"/>
        </w:rPr>
        <w:t>要求</w:t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微软雅黑 ! important" w:hint="eastAsia"/>
          <w:sz w:val="28"/>
          <w:szCs w:val="28"/>
        </w:rPr>
      </w:pPr>
      <w:r w:rsidRPr="00CC42A8">
        <w:rPr>
          <w:rFonts w:ascii="仿宋_GB2312" w:eastAsia="仿宋_GB2312" w:hAnsi="宋体" w:cs="微软雅黑 ! important" w:hint="eastAsia"/>
          <w:sz w:val="28"/>
          <w:szCs w:val="28"/>
        </w:rPr>
        <w:t>1.响应单位请知悉各电梯现状，在投标报价时需考虑解决遗留问题的费用，中标者在投标价格范围内需解决电梯之前遗留问题，并确保承保的电梯合</w:t>
      </w:r>
      <w:proofErr w:type="gramStart"/>
      <w:r w:rsidRPr="00CC42A8">
        <w:rPr>
          <w:rFonts w:ascii="仿宋_GB2312" w:eastAsia="仿宋_GB2312" w:hAnsi="宋体" w:cs="微软雅黑 ! important" w:hint="eastAsia"/>
          <w:sz w:val="28"/>
          <w:szCs w:val="28"/>
        </w:rPr>
        <w:t>规</w:t>
      </w:r>
      <w:proofErr w:type="gramEnd"/>
      <w:r w:rsidRPr="00CC42A8">
        <w:rPr>
          <w:rFonts w:ascii="仿宋_GB2312" w:eastAsia="仿宋_GB2312" w:hAnsi="宋体" w:cs="微软雅黑 ! important" w:hint="eastAsia"/>
          <w:sz w:val="28"/>
          <w:szCs w:val="28"/>
        </w:rPr>
        <w:t>合法地安全稳定启用及运行。</w:t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微软雅黑 ! important" w:hint="eastAsia"/>
          <w:sz w:val="28"/>
          <w:szCs w:val="28"/>
        </w:rPr>
      </w:pPr>
      <w:r w:rsidRPr="00CC42A8">
        <w:rPr>
          <w:rFonts w:ascii="仿宋_GB2312" w:eastAsia="仿宋_GB2312" w:hAnsi="宋体" w:cs="微软雅黑 ! important" w:hint="eastAsia"/>
          <w:sz w:val="28"/>
          <w:szCs w:val="28"/>
        </w:rPr>
        <w:lastRenderedPageBreak/>
        <w:t>2.年检费用及年检产生的相关费用，均由承保单位承担。</w:t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微软雅黑 ! important" w:hint="eastAsia"/>
          <w:sz w:val="28"/>
          <w:szCs w:val="28"/>
        </w:rPr>
      </w:pPr>
      <w:r w:rsidRPr="00CC42A8">
        <w:rPr>
          <w:rFonts w:ascii="仿宋_GB2312" w:eastAsia="仿宋_GB2312" w:hAnsi="宋体" w:cs="微软雅黑 ! important" w:hint="eastAsia"/>
          <w:sz w:val="28"/>
          <w:szCs w:val="28"/>
        </w:rPr>
        <w:t>3.维保单位的</w:t>
      </w:r>
      <w:proofErr w:type="gramStart"/>
      <w:r w:rsidRPr="00CC42A8">
        <w:rPr>
          <w:rFonts w:ascii="仿宋_GB2312" w:eastAsia="仿宋_GB2312" w:hAnsi="宋体" w:cs="微软雅黑 ! important" w:hint="eastAsia"/>
          <w:sz w:val="28"/>
          <w:szCs w:val="28"/>
        </w:rPr>
        <w:t>维保操作</w:t>
      </w:r>
      <w:proofErr w:type="gramEnd"/>
      <w:r w:rsidRPr="00CC42A8">
        <w:rPr>
          <w:rFonts w:ascii="仿宋_GB2312" w:eastAsia="仿宋_GB2312" w:hAnsi="宋体" w:cs="微软雅黑 ! important" w:hint="eastAsia"/>
          <w:sz w:val="28"/>
          <w:szCs w:val="28"/>
        </w:rPr>
        <w:t>需严格遵守《河南省电梯安全监督管理办法》。</w:t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微软雅黑 ! important" w:hint="eastAsia"/>
          <w:sz w:val="28"/>
          <w:szCs w:val="28"/>
        </w:rPr>
      </w:pPr>
      <w:r w:rsidRPr="00CC42A8">
        <w:rPr>
          <w:rFonts w:ascii="仿宋_GB2312" w:eastAsia="仿宋_GB2312" w:hAnsi="宋体" w:cs="微软雅黑 ! important" w:hint="eastAsia"/>
          <w:sz w:val="28"/>
          <w:szCs w:val="28"/>
        </w:rPr>
        <w:t>4.</w:t>
      </w:r>
      <w:proofErr w:type="gramStart"/>
      <w:r w:rsidRPr="00CC42A8">
        <w:rPr>
          <w:rFonts w:ascii="仿宋_GB2312" w:eastAsia="仿宋_GB2312" w:hAnsi="宋体" w:cs="微软雅黑 ! important" w:hint="eastAsia"/>
          <w:sz w:val="28"/>
          <w:szCs w:val="28"/>
        </w:rPr>
        <w:t>维保期满</w:t>
      </w:r>
      <w:proofErr w:type="gramEnd"/>
      <w:r w:rsidRPr="00CC42A8">
        <w:rPr>
          <w:rFonts w:ascii="仿宋_GB2312" w:eastAsia="仿宋_GB2312" w:hAnsi="宋体" w:cs="微软雅黑 ! important" w:hint="eastAsia"/>
          <w:sz w:val="28"/>
          <w:szCs w:val="28"/>
        </w:rPr>
        <w:t>后，重新公开招标，如承保方未中标，承保方应无条件配合新的承保单位</w:t>
      </w:r>
      <w:proofErr w:type="gramStart"/>
      <w:r w:rsidRPr="00CC42A8">
        <w:rPr>
          <w:rFonts w:ascii="仿宋_GB2312" w:eastAsia="仿宋_GB2312" w:hAnsi="宋体" w:cs="微软雅黑 ! important" w:hint="eastAsia"/>
          <w:sz w:val="28"/>
          <w:szCs w:val="28"/>
        </w:rPr>
        <w:t>进行维保资料</w:t>
      </w:r>
      <w:proofErr w:type="gramEnd"/>
      <w:r w:rsidRPr="00CC42A8">
        <w:rPr>
          <w:rFonts w:ascii="仿宋_GB2312" w:eastAsia="仿宋_GB2312" w:hAnsi="宋体" w:cs="微软雅黑 ! important" w:hint="eastAsia"/>
          <w:sz w:val="28"/>
          <w:szCs w:val="28"/>
        </w:rPr>
        <w:t>交接及年检资料交接，</w:t>
      </w:r>
      <w:proofErr w:type="gramStart"/>
      <w:r w:rsidRPr="00CC42A8">
        <w:rPr>
          <w:rFonts w:ascii="仿宋_GB2312" w:eastAsia="仿宋_GB2312" w:hAnsi="宋体" w:cs="微软雅黑 ! important" w:hint="eastAsia"/>
          <w:sz w:val="28"/>
          <w:szCs w:val="28"/>
        </w:rPr>
        <w:t>维保合同</w:t>
      </w:r>
      <w:proofErr w:type="gramEnd"/>
      <w:r w:rsidRPr="00CC42A8">
        <w:rPr>
          <w:rFonts w:ascii="仿宋_GB2312" w:eastAsia="仿宋_GB2312" w:hAnsi="宋体" w:cs="微软雅黑 ! important" w:hint="eastAsia"/>
          <w:sz w:val="28"/>
          <w:szCs w:val="28"/>
        </w:rPr>
        <w:t>自动解除。</w:t>
      </w:r>
    </w:p>
    <w:p w:rsidR="00CC42A8" w:rsidRPr="00CC42A8" w:rsidRDefault="00CC42A8" w:rsidP="00CC42A8">
      <w:pPr>
        <w:ind w:firstLineChars="200" w:firstLine="562"/>
        <w:jc w:val="left"/>
        <w:rPr>
          <w:rFonts w:ascii="仿宋_GB2312" w:eastAsia="仿宋_GB2312" w:hAnsi="仿宋" w:cs="仿宋_GB2312" w:hint="eastAsia"/>
          <w:color w:val="444444"/>
          <w:sz w:val="28"/>
          <w:szCs w:val="28"/>
        </w:rPr>
      </w:pPr>
      <w:r w:rsidRPr="00CC42A8">
        <w:rPr>
          <w:rFonts w:ascii="仿宋_GB2312" w:eastAsia="仿宋_GB2312" w:hAnsi="仿宋" w:cs="仿宋_GB2312" w:hint="eastAsia"/>
          <w:b/>
          <w:color w:val="000000"/>
          <w:sz w:val="28"/>
          <w:szCs w:val="28"/>
        </w:rPr>
        <w:t xml:space="preserve">三、投标人资质要求  </w:t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</w:pPr>
      <w:r w:rsidRPr="00CC42A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1.企业法定代表人身份证或法人授权委托书及被委托人身份证。</w:t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</w:pPr>
      <w:r w:rsidRPr="00CC42A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2.具备独立法人资格，营业执照通过年度</w:t>
      </w:r>
      <w:proofErr w:type="gramStart"/>
      <w:r w:rsidRPr="00CC42A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年检且</w:t>
      </w:r>
      <w:proofErr w:type="gramEnd"/>
      <w:r w:rsidRPr="00CC42A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在有效期内,经营范围涵盖</w:t>
      </w:r>
      <w:proofErr w:type="gramStart"/>
      <w:r w:rsidRPr="00CC42A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电梯维保服务</w:t>
      </w:r>
      <w:proofErr w:type="gramEnd"/>
      <w:r w:rsidRPr="00CC42A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且具备《特种设备安装改造维修许可证》B级资质或B级以上资质。</w:t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仿宋" w:cs="仿宋_GB2312" w:hint="eastAsia"/>
          <w:color w:val="FF0000"/>
          <w:sz w:val="32"/>
          <w:szCs w:val="28"/>
        </w:rPr>
      </w:pPr>
      <w:r w:rsidRPr="00CC42A8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3.投标人没有被列入“失信被执行人”、“重大税收违法案件当事人名单”黑名单情况，提供“信用中国”网站（www.creditchina.gov.cn）的查询信息截图打印页，信用记录网络查询截图加盖公章。</w:t>
      </w:r>
    </w:p>
    <w:p w:rsidR="00CC42A8" w:rsidRPr="00CC42A8" w:rsidRDefault="00CC42A8" w:rsidP="00CC42A8">
      <w:pPr>
        <w:ind w:firstLineChars="200" w:firstLine="562"/>
        <w:jc w:val="left"/>
        <w:rPr>
          <w:rFonts w:ascii="仿宋_GB2312" w:eastAsia="仿宋_GB2312" w:hAnsi="仿宋" w:cs="仿宋_GB2312" w:hint="eastAsia"/>
          <w:b/>
          <w:color w:val="000000"/>
          <w:sz w:val="28"/>
          <w:szCs w:val="28"/>
        </w:rPr>
      </w:pPr>
      <w:r w:rsidRPr="00CC42A8">
        <w:rPr>
          <w:rFonts w:ascii="仿宋_GB2312" w:eastAsia="仿宋_GB2312" w:hAnsi="仿宋" w:cs="仿宋_GB2312" w:hint="eastAsia"/>
          <w:b/>
          <w:color w:val="000000"/>
          <w:sz w:val="28"/>
          <w:szCs w:val="28"/>
        </w:rPr>
        <w:t>四、报名及竞争性谈判文件发售信息：</w:t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仿宋_GB2312" w:hint="eastAsia"/>
          <w:color w:val="000000"/>
          <w:sz w:val="28"/>
          <w:szCs w:val="28"/>
        </w:rPr>
      </w:pPr>
      <w:r w:rsidRPr="00CC42A8">
        <w:rPr>
          <w:rFonts w:ascii="仿宋_GB2312" w:eastAsia="仿宋_GB2312" w:hAnsi="宋体" w:cs="仿宋_GB2312" w:hint="eastAsia"/>
          <w:color w:val="000000"/>
          <w:sz w:val="28"/>
          <w:szCs w:val="28"/>
        </w:rPr>
        <w:t>1.报名时间及地点：2020年12月21日至2020年12月23日（法定节假、公休日除外）每天上午8:00～11:30，下午15:00～17:30（北京时间）到博雅苑超市3楼302办公室报名获取竞争性谈判文件。</w:t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仿宋_GB2312" w:hint="eastAsia"/>
          <w:color w:val="000000"/>
          <w:sz w:val="28"/>
          <w:szCs w:val="28"/>
        </w:rPr>
      </w:pPr>
      <w:r w:rsidRPr="00CC42A8">
        <w:rPr>
          <w:rFonts w:ascii="仿宋_GB2312" w:eastAsia="仿宋_GB2312" w:hAnsi="宋体" w:cs="仿宋_GB2312" w:hint="eastAsia"/>
          <w:color w:val="000000"/>
          <w:sz w:val="28"/>
          <w:szCs w:val="28"/>
        </w:rPr>
        <w:t>2.报名方式：本次报名方式采用现场报名的方式。</w:t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仿宋_GB2312" w:hint="eastAsia"/>
          <w:color w:val="000000"/>
          <w:sz w:val="28"/>
          <w:szCs w:val="28"/>
        </w:rPr>
      </w:pPr>
      <w:r w:rsidRPr="00CC42A8">
        <w:rPr>
          <w:rFonts w:ascii="仿宋_GB2312" w:eastAsia="仿宋_GB2312" w:hAnsi="宋体" w:cs="仿宋_GB2312" w:hint="eastAsia"/>
          <w:color w:val="000000"/>
          <w:sz w:val="28"/>
          <w:szCs w:val="28"/>
        </w:rPr>
        <w:t>3.竞争性谈判文件出售方式：现场出售。</w:t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仿宋_GB2312" w:hint="eastAsia"/>
          <w:color w:val="000000"/>
          <w:sz w:val="28"/>
          <w:szCs w:val="28"/>
        </w:rPr>
      </w:pPr>
      <w:r w:rsidRPr="00CC42A8">
        <w:rPr>
          <w:rFonts w:ascii="仿宋_GB2312" w:eastAsia="仿宋_GB2312" w:hAnsi="宋体" w:cs="仿宋_GB2312" w:hint="eastAsia"/>
          <w:color w:val="000000"/>
          <w:sz w:val="28"/>
          <w:szCs w:val="28"/>
        </w:rPr>
        <w:t>4.竞争性谈判文件售价：200元/套，售后不退。</w:t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仿宋_GB2312" w:hint="eastAsia"/>
          <w:color w:val="000000"/>
          <w:sz w:val="28"/>
          <w:szCs w:val="28"/>
        </w:rPr>
      </w:pPr>
      <w:r w:rsidRPr="00CC42A8">
        <w:rPr>
          <w:rFonts w:ascii="仿宋_GB2312" w:eastAsia="仿宋_GB2312" w:hAnsi="宋体" w:cs="仿宋_GB2312" w:hint="eastAsia"/>
          <w:color w:val="000000"/>
          <w:sz w:val="28"/>
          <w:szCs w:val="28"/>
        </w:rPr>
        <w:t>5.现场答疑信息</w:t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仿宋_GB2312" w:hint="eastAsia"/>
          <w:color w:val="000000"/>
          <w:sz w:val="28"/>
          <w:szCs w:val="28"/>
        </w:rPr>
      </w:pPr>
      <w:r w:rsidRPr="00CC42A8">
        <w:rPr>
          <w:rFonts w:ascii="仿宋_GB2312" w:eastAsia="仿宋_GB2312" w:hAnsi="宋体" w:cs="仿宋_GB2312" w:hint="eastAsia"/>
          <w:color w:val="000000"/>
          <w:sz w:val="28"/>
          <w:szCs w:val="28"/>
        </w:rPr>
        <w:t>答疑时间：2020年12月24日上午10:00</w:t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仿宋_GB2312" w:hint="eastAsia"/>
          <w:color w:val="000000"/>
          <w:sz w:val="28"/>
          <w:szCs w:val="28"/>
        </w:rPr>
      </w:pPr>
      <w:r w:rsidRPr="00CC42A8">
        <w:rPr>
          <w:rFonts w:ascii="仿宋_GB2312" w:eastAsia="仿宋_GB2312" w:hAnsi="宋体" w:cs="仿宋_GB2312" w:hint="eastAsia"/>
          <w:color w:val="000000"/>
          <w:sz w:val="28"/>
          <w:szCs w:val="28"/>
        </w:rPr>
        <w:t>答疑地点：博雅苑超市3楼会议室</w:t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仿宋_GB2312" w:hint="eastAsia"/>
          <w:color w:val="000000"/>
          <w:sz w:val="28"/>
          <w:szCs w:val="28"/>
        </w:rPr>
      </w:pPr>
      <w:r w:rsidRPr="00CC42A8">
        <w:rPr>
          <w:rFonts w:ascii="仿宋_GB2312" w:eastAsia="仿宋_GB2312" w:hAnsi="宋体" w:cs="仿宋_GB2312" w:hint="eastAsia"/>
          <w:color w:val="000000"/>
          <w:sz w:val="28"/>
          <w:szCs w:val="28"/>
        </w:rPr>
        <w:lastRenderedPageBreak/>
        <w:t xml:space="preserve">答疑联系人：  何老师  </w:t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仿宋_GB2312" w:hint="eastAsia"/>
          <w:color w:val="000000"/>
          <w:sz w:val="28"/>
          <w:szCs w:val="28"/>
        </w:rPr>
      </w:pPr>
      <w:r w:rsidRPr="00CC42A8">
        <w:rPr>
          <w:rFonts w:ascii="仿宋_GB2312" w:eastAsia="仿宋_GB2312" w:hAnsi="宋体" w:cs="仿宋_GB2312" w:hint="eastAsia"/>
          <w:color w:val="000000"/>
          <w:sz w:val="28"/>
          <w:szCs w:val="28"/>
        </w:rPr>
        <w:t>答疑联系电话：3987398</w:t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仿宋_GB2312" w:hint="eastAsia"/>
          <w:color w:val="000000"/>
          <w:sz w:val="28"/>
          <w:szCs w:val="28"/>
        </w:rPr>
      </w:pPr>
      <w:r w:rsidRPr="00CC42A8">
        <w:rPr>
          <w:rFonts w:ascii="仿宋_GB2312" w:eastAsia="仿宋_GB2312" w:hAnsi="宋体" w:cs="仿宋_GB2312" w:hint="eastAsia"/>
          <w:color w:val="000000"/>
          <w:sz w:val="28"/>
          <w:szCs w:val="28"/>
        </w:rPr>
        <w:t>6.报名及购买竞争性谈判文件时需携带的资料：营业执照副本（原件）、特种设备安装改造维修许可证、以及企业法定代表人身份证明或法人授权委托书、授权人身份证；所需证件要求出示原件并留加盖单位公章的复印件一套（法人授权委托书留原件）、“信用中国”网站的查询信息截图打印页（加盖公章）。</w:t>
      </w:r>
    </w:p>
    <w:p w:rsidR="00CC42A8" w:rsidRPr="00CC42A8" w:rsidRDefault="00CC42A8" w:rsidP="00CC42A8">
      <w:pPr>
        <w:ind w:firstLineChars="200" w:firstLine="562"/>
        <w:jc w:val="left"/>
        <w:rPr>
          <w:rFonts w:ascii="仿宋_GB2312" w:eastAsia="仿宋_GB2312" w:hAnsi="仿宋" w:cs="仿宋_GB2312" w:hint="eastAsia"/>
          <w:b/>
          <w:color w:val="000000"/>
          <w:sz w:val="28"/>
          <w:szCs w:val="28"/>
        </w:rPr>
      </w:pPr>
      <w:r w:rsidRPr="00CC42A8">
        <w:rPr>
          <w:rFonts w:ascii="仿宋_GB2312" w:eastAsia="仿宋_GB2312" w:hAnsi="仿宋" w:cs="仿宋_GB2312" w:hint="eastAsia"/>
          <w:b/>
          <w:color w:val="000000"/>
          <w:sz w:val="28"/>
          <w:szCs w:val="28"/>
        </w:rPr>
        <w:t>五、响应文件接收及谈判信息</w:t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仿宋_GB2312" w:hint="eastAsia"/>
          <w:sz w:val="28"/>
          <w:szCs w:val="28"/>
        </w:rPr>
      </w:pPr>
      <w:r w:rsidRPr="00CC42A8">
        <w:rPr>
          <w:rFonts w:ascii="仿宋_GB2312" w:eastAsia="仿宋_GB2312" w:hAnsi="宋体" w:cs="仿宋_GB2312" w:hint="eastAsia"/>
          <w:sz w:val="28"/>
          <w:szCs w:val="28"/>
        </w:rPr>
        <w:t>1.响应文件接收截止时间及谈判时间：2020年12月28日10：00；</w:t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仿宋_GB2312" w:hint="eastAsia"/>
          <w:sz w:val="28"/>
          <w:szCs w:val="28"/>
        </w:rPr>
      </w:pPr>
      <w:r w:rsidRPr="00CC42A8">
        <w:rPr>
          <w:rFonts w:ascii="仿宋_GB2312" w:eastAsia="仿宋_GB2312" w:hAnsi="宋体" w:cs="仿宋_GB2312" w:hint="eastAsia"/>
          <w:sz w:val="28"/>
          <w:szCs w:val="28"/>
        </w:rPr>
        <w:t>2.响应文件接收地点及谈判地点：河南理工大学博雅苑超市4楼414会议室。</w:t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仿宋_GB2312" w:hint="eastAsia"/>
          <w:sz w:val="28"/>
          <w:szCs w:val="28"/>
        </w:rPr>
      </w:pPr>
      <w:r w:rsidRPr="00CC42A8">
        <w:rPr>
          <w:rFonts w:ascii="仿宋_GB2312" w:eastAsia="仿宋_GB2312" w:hAnsi="宋体" w:cs="仿宋_GB2312" w:hint="eastAsia"/>
          <w:sz w:val="28"/>
          <w:szCs w:val="28"/>
        </w:rPr>
        <w:t>3.逾期送达的或者未送达指定地点的谈判响应文件，不予受理。</w:t>
      </w:r>
    </w:p>
    <w:p w:rsidR="00CC42A8" w:rsidRPr="00CC42A8" w:rsidRDefault="00CC42A8" w:rsidP="00CC42A8">
      <w:pPr>
        <w:ind w:firstLineChars="200" w:firstLine="562"/>
        <w:jc w:val="left"/>
        <w:rPr>
          <w:rFonts w:ascii="仿宋_GB2312" w:eastAsia="仿宋_GB2312" w:hAnsi="仿宋" w:cs="仿宋_GB2312" w:hint="eastAsia"/>
          <w:color w:val="444444"/>
          <w:sz w:val="28"/>
          <w:szCs w:val="28"/>
        </w:rPr>
      </w:pPr>
      <w:r w:rsidRPr="00CC42A8">
        <w:rPr>
          <w:rFonts w:ascii="仿宋_GB2312" w:eastAsia="仿宋_GB2312" w:hAnsi="仿宋" w:cs="仿宋_GB2312" w:hint="eastAsia"/>
          <w:b/>
          <w:color w:val="000000"/>
          <w:sz w:val="28"/>
          <w:szCs w:val="28"/>
        </w:rPr>
        <w:t xml:space="preserve">六、竞争性谈判公告媒介 </w:t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仿宋_GB2312" w:hint="eastAsia"/>
          <w:color w:val="000000"/>
          <w:sz w:val="28"/>
          <w:szCs w:val="28"/>
        </w:rPr>
      </w:pPr>
      <w:r w:rsidRPr="00CC42A8">
        <w:rPr>
          <w:rFonts w:ascii="仿宋_GB2312" w:eastAsia="仿宋_GB2312" w:hAnsi="宋体" w:cs="仿宋_GB2312" w:hint="eastAsia"/>
          <w:color w:val="000000"/>
          <w:sz w:val="28"/>
          <w:szCs w:val="28"/>
        </w:rPr>
        <w:t>本次谈判公告在《河南理工大学-招标公告》公开发布。</w:t>
      </w:r>
    </w:p>
    <w:p w:rsidR="00CC42A8" w:rsidRPr="00CC42A8" w:rsidRDefault="00CC42A8" w:rsidP="00CC42A8">
      <w:pPr>
        <w:ind w:firstLineChars="200" w:firstLine="562"/>
        <w:jc w:val="left"/>
        <w:rPr>
          <w:rFonts w:ascii="仿宋_GB2312" w:eastAsia="仿宋_GB2312" w:hAnsi="仿宋" w:cs="仿宋_GB2312" w:hint="eastAsia"/>
          <w:b/>
          <w:color w:val="000000"/>
          <w:sz w:val="28"/>
          <w:szCs w:val="28"/>
        </w:rPr>
      </w:pPr>
      <w:r w:rsidRPr="00CC42A8">
        <w:rPr>
          <w:rFonts w:ascii="仿宋_GB2312" w:eastAsia="仿宋_GB2312" w:hAnsi="仿宋" w:cs="仿宋_GB2312" w:hint="eastAsia"/>
          <w:b/>
          <w:color w:val="000000"/>
          <w:sz w:val="28"/>
          <w:szCs w:val="28"/>
        </w:rPr>
        <w:t>七、本次采购联系事项：</w:t>
      </w:r>
      <w:r w:rsidRPr="00CC42A8">
        <w:rPr>
          <w:rFonts w:ascii="仿宋_GB2312" w:eastAsia="仿宋_GB2312" w:hAnsi="仿宋" w:cs="仿宋_GB2312" w:hint="eastAsia"/>
          <w:b/>
          <w:color w:val="000000"/>
          <w:sz w:val="28"/>
          <w:szCs w:val="28"/>
        </w:rPr>
        <w:tab/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仿宋_GB2312" w:hint="eastAsia"/>
          <w:sz w:val="28"/>
          <w:szCs w:val="28"/>
        </w:rPr>
      </w:pPr>
      <w:r w:rsidRPr="00CC42A8">
        <w:rPr>
          <w:rFonts w:ascii="仿宋_GB2312" w:eastAsia="仿宋_GB2312" w:hAnsi="宋体" w:cs="仿宋_GB2312" w:hint="eastAsia"/>
          <w:sz w:val="28"/>
          <w:szCs w:val="28"/>
        </w:rPr>
        <w:t>招 标 方：河南理工大学后勤管理处（集团）</w:t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仿宋_GB2312" w:hint="eastAsia"/>
          <w:sz w:val="28"/>
          <w:szCs w:val="28"/>
        </w:rPr>
      </w:pPr>
      <w:r w:rsidRPr="00CC42A8">
        <w:rPr>
          <w:rFonts w:ascii="仿宋_GB2312" w:eastAsia="仿宋_GB2312" w:hAnsi="宋体" w:cs="仿宋_GB2312" w:hint="eastAsia"/>
          <w:sz w:val="28"/>
          <w:szCs w:val="28"/>
        </w:rPr>
        <w:t>联 系 人：何老师</w:t>
      </w:r>
    </w:p>
    <w:p w:rsidR="00CC42A8" w:rsidRPr="00CC42A8" w:rsidRDefault="00CC42A8" w:rsidP="00CC42A8">
      <w:pPr>
        <w:ind w:firstLineChars="200" w:firstLine="560"/>
        <w:jc w:val="left"/>
        <w:rPr>
          <w:rFonts w:ascii="仿宋_GB2312" w:eastAsia="仿宋_GB2312" w:hAnsi="宋体" w:cs="仿宋_GB2312" w:hint="eastAsia"/>
          <w:sz w:val="28"/>
          <w:szCs w:val="28"/>
        </w:rPr>
      </w:pPr>
      <w:r w:rsidRPr="00CC42A8">
        <w:rPr>
          <w:rFonts w:ascii="仿宋_GB2312" w:eastAsia="仿宋_GB2312" w:hAnsi="宋体" w:cs="仿宋_GB2312" w:hint="eastAsia"/>
          <w:sz w:val="28"/>
          <w:szCs w:val="28"/>
        </w:rPr>
        <w:t>电    话：3987398</w:t>
      </w:r>
    </w:p>
    <w:p w:rsidR="00CC42A8" w:rsidRDefault="00CC42A8" w:rsidP="00CC42A8">
      <w:pPr>
        <w:jc w:val="right"/>
        <w:rPr>
          <w:rFonts w:ascii="仿宋_GB2312" w:eastAsia="仿宋_GB2312" w:hAnsi="宋体" w:cs="仿宋_GB2312" w:hint="eastAsia"/>
          <w:sz w:val="28"/>
          <w:szCs w:val="28"/>
        </w:rPr>
      </w:pPr>
    </w:p>
    <w:p w:rsidR="00CC42A8" w:rsidRDefault="00CC42A8" w:rsidP="00CC42A8">
      <w:pPr>
        <w:jc w:val="right"/>
        <w:rPr>
          <w:rFonts w:ascii="仿宋_GB2312" w:eastAsia="仿宋_GB2312" w:hAnsi="宋体" w:cs="仿宋_GB2312" w:hint="eastAsia"/>
          <w:sz w:val="28"/>
          <w:szCs w:val="28"/>
        </w:rPr>
      </w:pPr>
    </w:p>
    <w:p w:rsidR="00CC42A8" w:rsidRPr="00CC42A8" w:rsidRDefault="00CC42A8" w:rsidP="00CC42A8">
      <w:pPr>
        <w:jc w:val="right"/>
        <w:rPr>
          <w:rFonts w:ascii="仿宋_GB2312" w:eastAsia="仿宋_GB2312" w:hAnsi="宋体" w:cs="仿宋_GB2312" w:hint="eastAsia"/>
          <w:sz w:val="28"/>
          <w:szCs w:val="28"/>
        </w:rPr>
      </w:pPr>
      <w:r w:rsidRPr="00CC42A8">
        <w:rPr>
          <w:rFonts w:ascii="仿宋_GB2312" w:eastAsia="仿宋_GB2312" w:hAnsi="宋体" w:cs="仿宋_GB2312" w:hint="eastAsia"/>
          <w:sz w:val="28"/>
          <w:szCs w:val="28"/>
        </w:rPr>
        <w:t>河南理工大学后勤管理处（集团）</w:t>
      </w:r>
    </w:p>
    <w:p w:rsidR="00D95613" w:rsidRPr="008C6629" w:rsidRDefault="00CC42A8" w:rsidP="008C6629">
      <w:pPr>
        <w:wordWrap w:val="0"/>
        <w:jc w:val="right"/>
        <w:rPr>
          <w:rFonts w:ascii="仿宋_GB2312" w:eastAsia="仿宋_GB2312" w:hAnsi="宋体" w:cs="仿宋_GB2312" w:hint="eastAsia"/>
          <w:sz w:val="28"/>
          <w:szCs w:val="28"/>
        </w:rPr>
      </w:pPr>
      <w:r w:rsidRPr="00CC42A8">
        <w:rPr>
          <w:rFonts w:ascii="仿宋_GB2312" w:eastAsia="仿宋_GB2312" w:hAnsi="宋体" w:cs="仿宋_GB2312" w:hint="eastAsia"/>
          <w:sz w:val="28"/>
          <w:szCs w:val="28"/>
        </w:rPr>
        <w:t>2020年12月</w:t>
      </w:r>
      <w:r>
        <w:rPr>
          <w:rFonts w:ascii="仿宋_GB2312" w:eastAsia="仿宋_GB2312" w:hAnsi="宋体" w:cs="仿宋_GB2312" w:hint="eastAsia"/>
          <w:sz w:val="28"/>
          <w:szCs w:val="28"/>
        </w:rPr>
        <w:t>21</w:t>
      </w:r>
      <w:r w:rsidRPr="00CC42A8">
        <w:rPr>
          <w:rFonts w:ascii="仿宋_GB2312" w:eastAsia="仿宋_GB2312" w:hAnsi="宋体" w:cs="仿宋_GB2312" w:hint="eastAsia"/>
          <w:sz w:val="28"/>
          <w:szCs w:val="28"/>
        </w:rPr>
        <w:t>日</w:t>
      </w:r>
      <w:r>
        <w:rPr>
          <w:rFonts w:ascii="仿宋_GB2312" w:eastAsia="仿宋_GB2312" w:hAnsi="宋体" w:cs="仿宋_GB2312" w:hint="eastAsia"/>
          <w:sz w:val="28"/>
          <w:szCs w:val="28"/>
        </w:rPr>
        <w:t xml:space="preserve">      </w:t>
      </w:r>
      <w:bookmarkStart w:id="0" w:name="_GoBack"/>
      <w:bookmarkEnd w:id="0"/>
    </w:p>
    <w:sectPr w:rsidR="00D95613" w:rsidRPr="008C6629" w:rsidSect="00CC42A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! important">
    <w:altName w:val="黑体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4"/>
    <w:rsid w:val="00347624"/>
    <w:rsid w:val="008C6629"/>
    <w:rsid w:val="00CC42A8"/>
    <w:rsid w:val="00D9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A8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CC42A8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CC42A8"/>
    <w:rPr>
      <w:rFonts w:ascii="Calibri Light" w:eastAsia="宋体" w:hAnsi="Calibri Light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A8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CC42A8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CC42A8"/>
    <w:rPr>
      <w:rFonts w:ascii="Calibri Light" w:eastAsia="宋体" w:hAnsi="Calibri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2020-12-21T02:48:00Z</dcterms:created>
  <dcterms:modified xsi:type="dcterms:W3CDTF">2020-12-21T02:51:00Z</dcterms:modified>
</cp:coreProperties>
</file>