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widowControl/>
        <w:spacing w:before="150" w:after="150" w:line="450" w:lineRule="atLeast"/>
        <w:jc w:val="center"/>
        <w:rPr>
          <w:rFonts w:hint="eastAsia" w:ascii="方正小标宋简体" w:hAnsi="方正小标宋简体" w:eastAsia="方正小标宋简体" w:cs="方正小标宋简体"/>
          <w:b/>
          <w:bCs/>
          <w:color w:val="auto"/>
          <w:sz w:val="44"/>
          <w:szCs w:val="44"/>
          <w:lang w:eastAsia="zh-CN"/>
        </w:rPr>
      </w:pPr>
      <w:r>
        <w:rPr>
          <w:rFonts w:hint="eastAsia" w:ascii="方正小标宋简体" w:hAnsi="方正小标宋简体" w:eastAsia="方正小标宋简体" w:cs="方正小标宋简体"/>
          <w:b/>
          <w:bCs/>
          <w:color w:val="auto"/>
          <w:sz w:val="44"/>
          <w:szCs w:val="44"/>
          <w:lang w:eastAsia="zh-CN"/>
        </w:rPr>
        <w:t>河南理工大学</w:t>
      </w:r>
      <w:r>
        <w:rPr>
          <w:rFonts w:hint="eastAsia" w:ascii="方正小标宋简体" w:hAnsi="方正小标宋简体" w:eastAsia="方正小标宋简体" w:cs="方正小标宋简体"/>
          <w:b/>
          <w:bCs/>
          <w:color w:val="auto"/>
          <w:sz w:val="44"/>
          <w:szCs w:val="44"/>
        </w:rPr>
        <w:t>校内交通车服务</w:t>
      </w:r>
      <w:r>
        <w:rPr>
          <w:rFonts w:hint="eastAsia" w:ascii="方正小标宋简体" w:hAnsi="方正小标宋简体" w:eastAsia="方正小标宋简体" w:cs="方正小标宋简体"/>
          <w:b/>
          <w:bCs/>
          <w:color w:val="auto"/>
          <w:sz w:val="44"/>
          <w:szCs w:val="44"/>
          <w:lang w:eastAsia="zh-CN"/>
        </w:rPr>
        <w:t>竞争性磋商文件</w:t>
      </w:r>
    </w:p>
    <w:p>
      <w:pPr>
        <w:keepNext w:val="0"/>
        <w:keepLines w:val="0"/>
        <w:pageBreakBefore w:val="0"/>
        <w:widowControl w:val="0"/>
        <w:kinsoku/>
        <w:wordWrap/>
        <w:overflowPunct/>
        <w:topLinePunct w:val="0"/>
        <w:autoSpaceDE/>
        <w:autoSpaceDN/>
        <w:bidi w:val="0"/>
        <w:adjustRightInd/>
        <w:snapToGrid/>
        <w:spacing w:line="540" w:lineRule="exact"/>
        <w:ind w:firstLine="562" w:firstLineChars="200"/>
        <w:textAlignment w:val="auto"/>
        <w:rPr>
          <w:rFonts w:hint="eastAsia"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lang w:eastAsia="zh-CN"/>
        </w:rPr>
        <w:t>一、</w:t>
      </w:r>
      <w:r>
        <w:rPr>
          <w:rFonts w:hint="eastAsia" w:ascii="仿宋_GB2312" w:hAnsi="仿宋_GB2312" w:eastAsia="仿宋_GB2312" w:cs="仿宋_GB2312"/>
          <w:b/>
          <w:bCs/>
          <w:color w:val="auto"/>
          <w:sz w:val="28"/>
          <w:szCs w:val="28"/>
        </w:rPr>
        <w:t>项目概况</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rPr>
        <w:t xml:space="preserve">项目名称：校园电动观光车交通服务。 </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rPr>
        <w:t>项目概况：</w:t>
      </w:r>
      <w:r>
        <w:rPr>
          <w:rFonts w:hint="eastAsia" w:ascii="仿宋_GB2312" w:hAnsi="仿宋_GB2312" w:eastAsia="仿宋_GB2312" w:cs="仿宋_GB2312"/>
          <w:color w:val="auto"/>
          <w:sz w:val="28"/>
          <w:szCs w:val="28"/>
          <w:lang w:eastAsia="zh-CN"/>
        </w:rPr>
        <w:t>河南理工大学</w:t>
      </w:r>
      <w:r>
        <w:rPr>
          <w:rFonts w:hint="eastAsia" w:ascii="仿宋_GB2312" w:hAnsi="仿宋_GB2312" w:eastAsia="仿宋_GB2312" w:cs="仿宋_GB2312"/>
          <w:color w:val="auto"/>
          <w:sz w:val="28"/>
          <w:szCs w:val="28"/>
        </w:rPr>
        <w:t>占地</w:t>
      </w:r>
      <w:r>
        <w:rPr>
          <w:rFonts w:hint="eastAsia" w:ascii="仿宋_GB2312" w:hAnsi="仿宋_GB2312" w:eastAsia="仿宋_GB2312" w:cs="仿宋_GB2312"/>
          <w:color w:val="auto"/>
          <w:sz w:val="28"/>
          <w:szCs w:val="28"/>
          <w:lang w:eastAsia="zh-CN"/>
        </w:rPr>
        <w:t>面积</w:t>
      </w:r>
      <w:r>
        <w:rPr>
          <w:rFonts w:hint="eastAsia" w:ascii="仿宋_GB2312" w:hAnsi="仿宋_GB2312" w:eastAsia="仿宋_GB2312" w:cs="仿宋_GB2312"/>
          <w:color w:val="auto"/>
          <w:sz w:val="28"/>
          <w:szCs w:val="28"/>
          <w:lang w:val="en-US" w:eastAsia="zh-CN"/>
        </w:rPr>
        <w:t>4100</w:t>
      </w:r>
      <w:r>
        <w:rPr>
          <w:rFonts w:hint="eastAsia" w:ascii="仿宋_GB2312" w:hAnsi="仿宋_GB2312" w:eastAsia="仿宋_GB2312" w:cs="仿宋_GB2312"/>
          <w:color w:val="auto"/>
          <w:sz w:val="28"/>
          <w:szCs w:val="28"/>
        </w:rPr>
        <w:t>余亩，现有师生4万</w:t>
      </w:r>
      <w:r>
        <w:rPr>
          <w:rFonts w:hint="eastAsia" w:ascii="仿宋_GB2312" w:hAnsi="仿宋_GB2312" w:eastAsia="仿宋_GB2312" w:cs="仿宋_GB2312"/>
          <w:color w:val="auto"/>
          <w:sz w:val="28"/>
          <w:szCs w:val="28"/>
          <w:lang w:eastAsia="zh-CN"/>
        </w:rPr>
        <w:t>余</w:t>
      </w:r>
      <w:r>
        <w:rPr>
          <w:rFonts w:hint="eastAsia" w:ascii="仿宋_GB2312" w:hAnsi="仿宋_GB2312" w:eastAsia="仿宋_GB2312" w:cs="仿宋_GB2312"/>
          <w:color w:val="auto"/>
          <w:sz w:val="28"/>
          <w:szCs w:val="28"/>
        </w:rPr>
        <w:t>人，校园内各教学楼、宿舍区、食堂间的距离过长，</w:t>
      </w:r>
      <w:r>
        <w:rPr>
          <w:rFonts w:hint="eastAsia" w:ascii="仿宋_GB2312" w:hAnsi="仿宋_GB2312" w:eastAsia="仿宋_GB2312" w:cs="仿宋_GB2312"/>
          <w:color w:val="auto"/>
          <w:sz w:val="28"/>
          <w:szCs w:val="28"/>
          <w:lang w:eastAsia="zh-CN"/>
        </w:rPr>
        <w:t>以</w:t>
      </w:r>
      <w:r>
        <w:rPr>
          <w:rFonts w:hint="eastAsia" w:ascii="仿宋_GB2312" w:hAnsi="仿宋_GB2312" w:eastAsia="仿宋_GB2312" w:cs="仿宋_GB2312"/>
          <w:color w:val="auto"/>
          <w:sz w:val="28"/>
          <w:szCs w:val="28"/>
        </w:rPr>
        <w:t>方便师生出行为原则，进一步提高出行效率，提升服务水平，学校决定引入校园电动交通车项目，由校园交通车营运服务项目的中标人按国家法律法规和学校对项目的要求筹措资金购买旅游观光车，接受学校相关部门的统一管理和监督。</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rPr>
        <w:t>3</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rPr>
        <w:t>经营及管理：公司的运营管理实行自主经营，自负盈亏。</w:t>
      </w:r>
      <w:r>
        <w:rPr>
          <w:rFonts w:hint="eastAsia" w:ascii="仿宋_GB2312" w:hAnsi="仿宋_GB2312" w:eastAsia="仿宋_GB2312" w:cs="仿宋_GB2312"/>
          <w:color w:val="auto"/>
          <w:sz w:val="28"/>
          <w:szCs w:val="28"/>
          <w:lang w:eastAsia="zh-CN"/>
        </w:rPr>
        <w:t>中标</w:t>
      </w:r>
      <w:r>
        <w:rPr>
          <w:rFonts w:hint="eastAsia" w:ascii="仿宋_GB2312" w:hAnsi="仿宋_GB2312" w:eastAsia="仿宋_GB2312" w:cs="仿宋_GB2312"/>
          <w:color w:val="auto"/>
          <w:sz w:val="28"/>
          <w:szCs w:val="28"/>
        </w:rPr>
        <w:t>单位向学校交纳不低于人民币</w:t>
      </w:r>
      <w:r>
        <w:rPr>
          <w:rFonts w:hint="eastAsia" w:ascii="仿宋_GB2312" w:hAnsi="仿宋_GB2312" w:eastAsia="仿宋_GB2312" w:cs="仿宋_GB2312"/>
          <w:color w:val="auto"/>
          <w:sz w:val="28"/>
          <w:szCs w:val="28"/>
          <w:lang w:val="en-US" w:eastAsia="zh-CN"/>
        </w:rPr>
        <w:t>6.5</w:t>
      </w:r>
      <w:r>
        <w:rPr>
          <w:rFonts w:hint="eastAsia" w:ascii="仿宋_GB2312" w:hAnsi="仿宋_GB2312" w:eastAsia="仿宋_GB2312" w:cs="仿宋_GB2312"/>
          <w:color w:val="auto"/>
          <w:sz w:val="28"/>
          <w:szCs w:val="28"/>
        </w:rPr>
        <w:t>万/年</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lang w:val="en-US" w:eastAsia="zh-CN"/>
        </w:rPr>
        <w:t>8台车</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rPr>
        <w:t>的资源占用费。</w:t>
      </w:r>
    </w:p>
    <w:p>
      <w:pPr>
        <w:keepNext w:val="0"/>
        <w:keepLines w:val="0"/>
        <w:pageBreakBefore w:val="0"/>
        <w:widowControl w:val="0"/>
        <w:kinsoku/>
        <w:wordWrap/>
        <w:overflowPunct/>
        <w:topLinePunct w:val="0"/>
        <w:autoSpaceDE/>
        <w:autoSpaceDN/>
        <w:bidi w:val="0"/>
        <w:adjustRightInd/>
        <w:snapToGrid/>
        <w:spacing w:line="540" w:lineRule="exact"/>
        <w:ind w:firstLine="562"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b/>
          <w:bCs/>
          <w:color w:val="auto"/>
          <w:sz w:val="28"/>
          <w:szCs w:val="28"/>
        </w:rPr>
        <w:t>二、</w:t>
      </w:r>
      <w:r>
        <w:rPr>
          <w:rFonts w:hint="eastAsia" w:ascii="仿宋_GB2312" w:hAnsi="仿宋_GB2312" w:eastAsia="仿宋_GB2312" w:cs="仿宋_GB2312"/>
          <w:b/>
          <w:bCs/>
          <w:color w:val="auto"/>
          <w:sz w:val="28"/>
          <w:szCs w:val="28"/>
          <w:lang w:eastAsia="zh-CN"/>
        </w:rPr>
        <w:t>响应</w:t>
      </w:r>
      <w:r>
        <w:rPr>
          <w:rFonts w:hint="eastAsia" w:ascii="仿宋_GB2312" w:hAnsi="仿宋_GB2312" w:eastAsia="仿宋_GB2312" w:cs="仿宋_GB2312"/>
          <w:b/>
          <w:bCs/>
          <w:color w:val="auto"/>
          <w:sz w:val="28"/>
          <w:szCs w:val="28"/>
        </w:rPr>
        <w:t>资质要求</w:t>
      </w:r>
      <w:r>
        <w:rPr>
          <w:rFonts w:hint="eastAsia" w:ascii="仿宋_GB2312" w:hAnsi="仿宋_GB2312" w:eastAsia="仿宋_GB2312" w:cs="仿宋_GB2312"/>
          <w:color w:val="auto"/>
          <w:sz w:val="28"/>
          <w:szCs w:val="28"/>
        </w:rPr>
        <w:t xml:space="preserve"> </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w:t>
      </w:r>
      <w:r>
        <w:rPr>
          <w:rFonts w:hint="eastAsia" w:ascii="仿宋_GB2312" w:hAnsi="仿宋_GB2312" w:eastAsia="仿宋_GB2312" w:cs="仿宋_GB2312"/>
          <w:color w:val="auto"/>
          <w:sz w:val="28"/>
          <w:szCs w:val="28"/>
          <w:lang w:eastAsia="zh-CN"/>
        </w:rPr>
        <w:t>.响应人</w:t>
      </w:r>
      <w:r>
        <w:rPr>
          <w:rFonts w:hint="eastAsia" w:ascii="仿宋_GB2312" w:hAnsi="仿宋_GB2312" w:eastAsia="仿宋_GB2312" w:cs="仿宋_GB2312"/>
          <w:color w:val="auto"/>
          <w:sz w:val="28"/>
          <w:szCs w:val="28"/>
        </w:rPr>
        <w:t>必须具有企业法人资格，企业经营范围具有电动</w:t>
      </w:r>
      <w:r>
        <w:rPr>
          <w:rFonts w:hint="eastAsia" w:ascii="仿宋_GB2312" w:hAnsi="仿宋_GB2312" w:eastAsia="仿宋_GB2312" w:cs="仿宋_GB2312"/>
          <w:color w:val="auto"/>
          <w:sz w:val="28"/>
          <w:szCs w:val="28"/>
          <w:lang w:eastAsia="zh-CN"/>
        </w:rPr>
        <w:t>观光车</w:t>
      </w:r>
      <w:r>
        <w:rPr>
          <w:rFonts w:hint="eastAsia" w:ascii="仿宋_GB2312" w:hAnsi="仿宋_GB2312" w:eastAsia="仿宋_GB2312" w:cs="仿宋_GB2312"/>
          <w:color w:val="auto"/>
          <w:sz w:val="28"/>
          <w:szCs w:val="28"/>
        </w:rPr>
        <w:t>运营管理</w:t>
      </w:r>
      <w:r>
        <w:rPr>
          <w:rFonts w:hint="eastAsia" w:ascii="仿宋_GB2312" w:hAnsi="仿宋_GB2312" w:eastAsia="仿宋_GB2312" w:cs="仿宋_GB2312"/>
          <w:color w:val="auto"/>
          <w:sz w:val="28"/>
          <w:szCs w:val="28"/>
          <w:lang w:eastAsia="zh-CN"/>
        </w:rPr>
        <w:t>服务</w:t>
      </w:r>
      <w:r>
        <w:rPr>
          <w:rFonts w:hint="eastAsia" w:ascii="仿宋_GB2312" w:hAnsi="仿宋_GB2312" w:eastAsia="仿宋_GB2312" w:cs="仿宋_GB2312"/>
          <w:color w:val="auto"/>
          <w:sz w:val="28"/>
          <w:szCs w:val="28"/>
        </w:rPr>
        <w:t>；</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2.</w:t>
      </w:r>
      <w:r>
        <w:rPr>
          <w:rFonts w:hint="eastAsia" w:ascii="仿宋_GB2312" w:hAnsi="仿宋_GB2312" w:eastAsia="仿宋_GB2312" w:cs="仿宋_GB2312"/>
          <w:color w:val="auto"/>
          <w:sz w:val="28"/>
          <w:szCs w:val="28"/>
        </w:rPr>
        <w:t xml:space="preserve">根据行政管理规定，具备办理运营手续的条件和能力; </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3.</w:t>
      </w:r>
      <w:r>
        <w:rPr>
          <w:rFonts w:hint="eastAsia" w:ascii="仿宋_GB2312" w:hAnsi="仿宋_GB2312" w:eastAsia="仿宋_GB2312" w:cs="仿宋_GB2312"/>
          <w:color w:val="auto"/>
          <w:sz w:val="28"/>
          <w:szCs w:val="28"/>
        </w:rPr>
        <w:t xml:space="preserve">必须提供经年检合格的《营业执照》及有效税务登记证或三证合一； </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4.</w:t>
      </w:r>
      <w:r>
        <w:rPr>
          <w:rFonts w:hint="eastAsia" w:ascii="仿宋_GB2312" w:hAnsi="仿宋_GB2312" w:eastAsia="仿宋_GB2312" w:cs="仿宋_GB2312"/>
          <w:color w:val="auto"/>
          <w:sz w:val="28"/>
          <w:szCs w:val="28"/>
        </w:rPr>
        <w:t>具有经营同类型项目</w:t>
      </w:r>
      <w:r>
        <w:rPr>
          <w:rFonts w:hint="eastAsia" w:ascii="仿宋_GB2312" w:hAnsi="仿宋_GB2312" w:eastAsia="仿宋_GB2312" w:cs="仿宋_GB2312"/>
          <w:color w:val="auto"/>
          <w:sz w:val="28"/>
          <w:szCs w:val="28"/>
          <w:lang w:val="en-US" w:eastAsia="zh-CN"/>
        </w:rPr>
        <w:t>5</w:t>
      </w:r>
      <w:r>
        <w:rPr>
          <w:rFonts w:hint="eastAsia" w:ascii="仿宋_GB2312" w:hAnsi="仿宋_GB2312" w:eastAsia="仿宋_GB2312" w:cs="仿宋_GB2312"/>
          <w:color w:val="auto"/>
          <w:sz w:val="28"/>
          <w:szCs w:val="28"/>
        </w:rPr>
        <w:t>年以上经验</w:t>
      </w:r>
      <w:r>
        <w:rPr>
          <w:rFonts w:hint="eastAsia" w:ascii="仿宋_GB2312" w:hAnsi="仿宋_GB2312" w:eastAsia="仿宋_GB2312" w:cs="仿宋_GB2312"/>
          <w:color w:val="auto"/>
          <w:sz w:val="28"/>
          <w:szCs w:val="28"/>
          <w:lang w:val="en-US" w:eastAsia="zh-CN"/>
        </w:rPr>
        <w:t>及现有5所同类院校服务业务的企业</w:t>
      </w:r>
      <w:r>
        <w:rPr>
          <w:rFonts w:hint="eastAsia" w:ascii="仿宋_GB2312" w:hAnsi="仿宋_GB2312" w:eastAsia="仿宋_GB2312" w:cs="仿宋_GB2312"/>
          <w:color w:val="auto"/>
          <w:sz w:val="28"/>
          <w:szCs w:val="28"/>
        </w:rPr>
        <w:t>；企业法人代表证明书及具法人盖章的被委托人有效授权书，</w:t>
      </w:r>
      <w:r>
        <w:rPr>
          <w:rFonts w:hint="eastAsia" w:ascii="仿宋_GB2312" w:hAnsi="仿宋_GB2312" w:eastAsia="仿宋_GB2312" w:cs="仿宋_GB2312"/>
          <w:color w:val="auto"/>
          <w:sz w:val="28"/>
          <w:szCs w:val="28"/>
          <w:lang w:eastAsia="zh-CN"/>
        </w:rPr>
        <w:t>响应</w:t>
      </w:r>
      <w:r>
        <w:rPr>
          <w:rFonts w:hint="eastAsia" w:ascii="仿宋_GB2312" w:hAnsi="仿宋_GB2312" w:eastAsia="仿宋_GB2312" w:cs="仿宋_GB2312"/>
          <w:color w:val="auto"/>
          <w:sz w:val="28"/>
          <w:szCs w:val="28"/>
        </w:rPr>
        <w:t>代表的身份证复印件（</w:t>
      </w:r>
      <w:r>
        <w:rPr>
          <w:rFonts w:hint="eastAsia" w:ascii="仿宋_GB2312" w:hAnsi="仿宋_GB2312" w:eastAsia="仿宋_GB2312" w:cs="仿宋_GB2312"/>
          <w:color w:val="auto"/>
          <w:sz w:val="28"/>
          <w:szCs w:val="28"/>
          <w:lang w:eastAsia="zh-CN"/>
        </w:rPr>
        <w:t>竞争性磋商现场</w:t>
      </w:r>
      <w:r>
        <w:rPr>
          <w:rFonts w:hint="eastAsia" w:ascii="仿宋_GB2312" w:hAnsi="仿宋_GB2312" w:eastAsia="仿宋_GB2312" w:cs="仿宋_GB2312"/>
          <w:color w:val="auto"/>
          <w:sz w:val="28"/>
          <w:szCs w:val="28"/>
        </w:rPr>
        <w:t>须提供以上所有证照的原件以备核对）；</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5.</w:t>
      </w:r>
      <w:r>
        <w:rPr>
          <w:rFonts w:hint="eastAsia" w:ascii="仿宋_GB2312" w:hAnsi="仿宋_GB2312" w:eastAsia="仿宋_GB2312" w:cs="仿宋_GB2312"/>
          <w:color w:val="000000" w:themeColor="text1"/>
          <w:sz w:val="28"/>
          <w:szCs w:val="28"/>
          <w14:textFill>
            <w14:solidFill>
              <w14:schemeClr w14:val="tx1"/>
            </w14:solidFill>
          </w14:textFill>
        </w:rPr>
        <w:t>信誉要求：未处于财产被接管、冻结、破产状态，参加本次采购活动前三年内，在经营活动中没有重大违法违规记录；未处于</w:t>
      </w:r>
      <w:r>
        <w:rPr>
          <w:rFonts w:hint="eastAsia" w:ascii="仿宋_GB2312" w:hAnsi="仿宋_GB2312" w:eastAsia="仿宋_GB2312" w:cs="仿宋_GB2312"/>
          <w:color w:val="000000" w:themeColor="text1"/>
          <w:sz w:val="28"/>
          <w:szCs w:val="28"/>
          <w:lang w:eastAsia="zh-CN"/>
          <w14:textFill>
            <w14:solidFill>
              <w14:schemeClr w14:val="tx1"/>
            </w14:solidFill>
          </w14:textFill>
        </w:rPr>
        <w:t>河南</w:t>
      </w:r>
      <w:r>
        <w:rPr>
          <w:rFonts w:hint="eastAsia" w:ascii="仿宋_GB2312" w:hAnsi="仿宋_GB2312" w:eastAsia="仿宋_GB2312" w:cs="仿宋_GB2312"/>
          <w:color w:val="000000" w:themeColor="text1"/>
          <w:sz w:val="28"/>
          <w:szCs w:val="28"/>
          <w14:textFill>
            <w14:solidFill>
              <w14:schemeClr w14:val="tx1"/>
            </w14:solidFill>
          </w14:textFill>
        </w:rPr>
        <w:t>省行政区域内有关行政处罚或不良记录期间；不存在国家和行业禁止性准入资格条件。</w:t>
      </w:r>
    </w:p>
    <w:p>
      <w:pPr>
        <w:keepNext w:val="0"/>
        <w:keepLines w:val="0"/>
        <w:pageBreakBefore w:val="0"/>
        <w:widowControl w:val="0"/>
        <w:kinsoku/>
        <w:wordWrap/>
        <w:overflowPunct/>
        <w:topLinePunct w:val="0"/>
        <w:autoSpaceDE/>
        <w:autoSpaceDN/>
        <w:bidi w:val="0"/>
        <w:adjustRightInd/>
        <w:snapToGrid/>
        <w:spacing w:line="540" w:lineRule="exact"/>
        <w:ind w:firstLine="562" w:firstLineChars="200"/>
        <w:textAlignment w:val="auto"/>
        <w:rPr>
          <w:rFonts w:hint="eastAsia"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lang w:eastAsia="zh-CN"/>
        </w:rPr>
        <w:t>三、</w:t>
      </w:r>
      <w:r>
        <w:rPr>
          <w:rFonts w:hint="eastAsia" w:ascii="仿宋_GB2312" w:hAnsi="仿宋_GB2312" w:eastAsia="仿宋_GB2312" w:cs="仿宋_GB2312"/>
          <w:b/>
          <w:bCs/>
          <w:color w:val="auto"/>
          <w:sz w:val="28"/>
          <w:szCs w:val="28"/>
        </w:rPr>
        <w:t>经营期限</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rPr>
        <w:t>经营期限5年</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lang w:val="en-US" w:eastAsia="zh-CN"/>
        </w:rPr>
        <w:t>2021年3月1日至2026年2月28日</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rPr>
        <w:t>；</w:t>
      </w:r>
    </w:p>
    <w:p>
      <w:pPr>
        <w:keepNext w:val="0"/>
        <w:keepLines w:val="0"/>
        <w:pageBreakBefore w:val="0"/>
        <w:widowControl w:val="0"/>
        <w:kinsoku/>
        <w:wordWrap/>
        <w:overflowPunct/>
        <w:topLinePunct w:val="0"/>
        <w:autoSpaceDE/>
        <w:autoSpaceDN/>
        <w:bidi w:val="0"/>
        <w:adjustRightInd/>
        <w:snapToGrid/>
        <w:spacing w:line="540" w:lineRule="exact"/>
        <w:ind w:firstLine="562" w:firstLineChars="200"/>
        <w:textAlignment w:val="auto"/>
        <w:rPr>
          <w:rFonts w:hint="eastAsia"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rPr>
        <w:t>四、运营要求</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w:t>
      </w:r>
      <w:r>
        <w:rPr>
          <w:rFonts w:hint="eastAsia" w:ascii="仿宋_GB2312" w:hAnsi="仿宋_GB2312" w:eastAsia="仿宋_GB2312" w:cs="仿宋_GB2312"/>
          <w:color w:val="auto"/>
          <w:sz w:val="28"/>
          <w:szCs w:val="28"/>
          <w:lang w:eastAsia="zh-CN"/>
        </w:rPr>
        <w:t>.响应</w:t>
      </w:r>
      <w:r>
        <w:rPr>
          <w:rFonts w:hint="eastAsia" w:ascii="仿宋_GB2312" w:hAnsi="仿宋_GB2312" w:eastAsia="仿宋_GB2312" w:cs="仿宋_GB2312"/>
          <w:color w:val="auto"/>
          <w:sz w:val="28"/>
          <w:szCs w:val="28"/>
        </w:rPr>
        <w:t xml:space="preserve">人在运营期内应履行的义务 </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1.1须至少开通1条环线线路、1条点到点路线，必须设置固定停车点位及每条线路的发车时间表。以后可根据实际需要经校方批准后自行增加运力及线路。 </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1.2 </w:t>
      </w:r>
      <w:r>
        <w:rPr>
          <w:rFonts w:hint="eastAsia" w:ascii="仿宋_GB2312" w:hAnsi="仿宋_GB2312" w:eastAsia="仿宋_GB2312" w:cs="仿宋_GB2312"/>
          <w:color w:val="auto"/>
          <w:sz w:val="28"/>
          <w:szCs w:val="28"/>
          <w:lang w:eastAsia="zh-CN"/>
        </w:rPr>
        <w:t>响应</w:t>
      </w:r>
      <w:r>
        <w:rPr>
          <w:rFonts w:hint="eastAsia" w:ascii="仿宋_GB2312" w:hAnsi="仿宋_GB2312" w:eastAsia="仿宋_GB2312" w:cs="仿宋_GB2312"/>
          <w:color w:val="auto"/>
          <w:sz w:val="28"/>
          <w:szCs w:val="28"/>
        </w:rPr>
        <w:t xml:space="preserve">人自行承担运营期间所有费用，自主经营，自负盈亏。 </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1.3全校</w:t>
      </w:r>
      <w:r>
        <w:rPr>
          <w:rFonts w:hint="eastAsia" w:ascii="仿宋_GB2312" w:hAnsi="仿宋_GB2312" w:eastAsia="仿宋_GB2312" w:cs="仿宋_GB2312"/>
          <w:color w:val="auto"/>
          <w:sz w:val="28"/>
          <w:szCs w:val="28"/>
          <w:lang w:eastAsia="zh-CN"/>
        </w:rPr>
        <w:t>师生</w:t>
      </w:r>
      <w:r>
        <w:rPr>
          <w:rFonts w:hint="eastAsia" w:ascii="仿宋_GB2312" w:hAnsi="仿宋_GB2312" w:eastAsia="仿宋_GB2312" w:cs="仿宋_GB2312"/>
          <w:color w:val="auto"/>
          <w:sz w:val="28"/>
          <w:szCs w:val="28"/>
        </w:rPr>
        <w:t>乘坐按1元/人.次计，每天基本营运时间7:30-2</w:t>
      </w:r>
      <w:r>
        <w:rPr>
          <w:rFonts w:hint="eastAsia" w:ascii="仿宋_GB2312" w:hAnsi="仿宋_GB2312" w:eastAsia="仿宋_GB2312" w:cs="仿宋_GB2312"/>
          <w:color w:val="auto"/>
          <w:sz w:val="28"/>
          <w:szCs w:val="28"/>
          <w:lang w:val="en-US" w:eastAsia="zh-CN"/>
        </w:rPr>
        <w:t>1</w:t>
      </w:r>
      <w:r>
        <w:rPr>
          <w:rFonts w:hint="eastAsia" w:ascii="仿宋_GB2312" w:hAnsi="仿宋_GB2312" w:eastAsia="仿宋_GB2312" w:cs="仿宋_GB2312"/>
          <w:color w:val="auto"/>
          <w:sz w:val="28"/>
          <w:szCs w:val="28"/>
        </w:rPr>
        <w:t>:30。</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2.</w:t>
      </w:r>
      <w:r>
        <w:rPr>
          <w:rFonts w:hint="eastAsia" w:ascii="仿宋_GB2312" w:hAnsi="仿宋_GB2312" w:eastAsia="仿宋_GB2312" w:cs="仿宋_GB2312"/>
          <w:color w:val="auto"/>
          <w:sz w:val="28"/>
          <w:szCs w:val="28"/>
          <w:lang w:eastAsia="zh-CN"/>
        </w:rPr>
        <w:t>响应</w:t>
      </w:r>
      <w:r>
        <w:rPr>
          <w:rFonts w:hint="eastAsia" w:ascii="仿宋_GB2312" w:hAnsi="仿宋_GB2312" w:eastAsia="仿宋_GB2312" w:cs="仿宋_GB2312"/>
          <w:color w:val="auto"/>
          <w:sz w:val="28"/>
          <w:szCs w:val="28"/>
        </w:rPr>
        <w:t xml:space="preserve">人在运营期内车辆、驾驶员及服务要求 </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2.1投入的电动观光车需具有车辆检验合格证及相关主管部门要求的其他证件。 </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2.2投入电动观光车的</w:t>
      </w:r>
      <w:r>
        <w:rPr>
          <w:rFonts w:hint="eastAsia" w:ascii="仿宋_GB2312" w:hAnsi="仿宋_GB2312" w:eastAsia="仿宋_GB2312" w:cs="仿宋_GB2312"/>
          <w:color w:val="auto"/>
          <w:sz w:val="28"/>
          <w:szCs w:val="28"/>
          <w:lang w:eastAsia="zh-CN"/>
        </w:rPr>
        <w:t>生产厂家必须经过在国家工信部备案，</w:t>
      </w:r>
      <w:r>
        <w:rPr>
          <w:rFonts w:hint="eastAsia" w:ascii="仿宋_GB2312" w:hAnsi="仿宋_GB2312" w:eastAsia="仿宋_GB2312" w:cs="仿宋_GB2312"/>
          <w:color w:val="auto"/>
          <w:sz w:val="28"/>
          <w:szCs w:val="28"/>
        </w:rPr>
        <w:t xml:space="preserve">需购买第三者责任险。 </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2.3投入的电动观光车须为全新</w:t>
      </w:r>
      <w:r>
        <w:rPr>
          <w:rFonts w:hint="eastAsia" w:ascii="仿宋_GB2312" w:hAnsi="仿宋_GB2312" w:eastAsia="仿宋_GB2312" w:cs="仿宋_GB2312"/>
          <w:color w:val="auto"/>
          <w:sz w:val="28"/>
          <w:szCs w:val="28"/>
          <w:lang w:val="en-US" w:eastAsia="zh-CN"/>
        </w:rPr>
        <w:t>观光车，</w:t>
      </w:r>
      <w:r>
        <w:rPr>
          <w:rFonts w:hint="eastAsia" w:ascii="仿宋_GB2312" w:hAnsi="仿宋_GB2312" w:eastAsia="仿宋_GB2312" w:cs="仿宋_GB2312"/>
          <w:color w:val="auto"/>
          <w:sz w:val="28"/>
          <w:szCs w:val="28"/>
        </w:rPr>
        <w:t>需对车辆定期做保养检查，每学期开学前需做专项保养方可投入使用。</w:t>
      </w:r>
      <w:r>
        <w:rPr>
          <w:rFonts w:hint="eastAsia" w:ascii="仿宋_GB2312" w:hAnsi="仿宋_GB2312" w:eastAsia="仿宋_GB2312" w:cs="仿宋_GB2312"/>
          <w:color w:val="auto"/>
          <w:sz w:val="28"/>
          <w:szCs w:val="28"/>
          <w:lang w:val="en-US" w:eastAsia="zh-CN"/>
        </w:rPr>
        <w:t>根</w:t>
      </w:r>
      <w:r>
        <w:rPr>
          <w:rFonts w:hint="eastAsia" w:ascii="仿宋_GB2312" w:hAnsi="仿宋_GB2312" w:eastAsia="仿宋_GB2312" w:cs="仿宋_GB2312"/>
          <w:color w:val="auto"/>
          <w:sz w:val="28"/>
          <w:szCs w:val="28"/>
        </w:rPr>
        <w:t>据车况对车辆进行全面检查维护</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rPr>
        <w:t xml:space="preserve"> </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2.4驾驶员需持有符合驾驶观光车有效机动车驾驶证（Ｃ1照或以上），驾驶员验证上岗，驾驶员更换须向学校</w:t>
      </w:r>
      <w:r>
        <w:rPr>
          <w:rFonts w:hint="eastAsia" w:ascii="仿宋_GB2312" w:hAnsi="仿宋_GB2312" w:eastAsia="仿宋_GB2312" w:cs="仿宋_GB2312"/>
          <w:color w:val="auto"/>
          <w:sz w:val="28"/>
          <w:szCs w:val="28"/>
          <w:lang w:eastAsia="zh-CN"/>
        </w:rPr>
        <w:t>管理部门</w:t>
      </w:r>
      <w:r>
        <w:rPr>
          <w:rFonts w:hint="eastAsia" w:ascii="仿宋_GB2312" w:hAnsi="仿宋_GB2312" w:eastAsia="仿宋_GB2312" w:cs="仿宋_GB2312"/>
          <w:color w:val="auto"/>
          <w:sz w:val="28"/>
          <w:szCs w:val="28"/>
        </w:rPr>
        <w:t xml:space="preserve">提供相关资料报备。 </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2.5驾驶员工作时间应统一着装，文明服务，不能拒载、恶言恶语。车辆前后应贴上明显的监督和投诉电话以及票价表和注意事项。</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w:t>
      </w:r>
      <w:r>
        <w:rPr>
          <w:rFonts w:hint="eastAsia" w:ascii="仿宋_GB2312" w:hAnsi="仿宋_GB2312" w:eastAsia="仿宋_GB2312" w:cs="仿宋_GB2312"/>
          <w:color w:val="auto"/>
          <w:sz w:val="28"/>
          <w:szCs w:val="28"/>
          <w:lang w:eastAsia="zh-CN"/>
        </w:rPr>
        <w:t>.响应</w:t>
      </w:r>
      <w:r>
        <w:rPr>
          <w:rFonts w:hint="eastAsia" w:ascii="仿宋_GB2312" w:hAnsi="仿宋_GB2312" w:eastAsia="仿宋_GB2312" w:cs="仿宋_GB2312"/>
          <w:color w:val="auto"/>
          <w:sz w:val="28"/>
          <w:szCs w:val="28"/>
        </w:rPr>
        <w:t xml:space="preserve">方在运营中还应承担的责任 </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3.1运营期间，</w:t>
      </w:r>
      <w:r>
        <w:rPr>
          <w:rFonts w:hint="eastAsia" w:ascii="仿宋_GB2312" w:hAnsi="仿宋_GB2312" w:eastAsia="仿宋_GB2312" w:cs="仿宋_GB2312"/>
          <w:color w:val="auto"/>
          <w:sz w:val="28"/>
          <w:szCs w:val="28"/>
          <w:lang w:eastAsia="zh-CN"/>
        </w:rPr>
        <w:t>响应</w:t>
      </w:r>
      <w:r>
        <w:rPr>
          <w:rFonts w:hint="eastAsia" w:ascii="仿宋_GB2312" w:hAnsi="仿宋_GB2312" w:eastAsia="仿宋_GB2312" w:cs="仿宋_GB2312"/>
          <w:color w:val="auto"/>
          <w:sz w:val="28"/>
          <w:szCs w:val="28"/>
        </w:rPr>
        <w:t xml:space="preserve">方及工作人员发生的交通安全事故、与师生及第三人发生人身财产及债权债务关系、政府行政处罚均由投标方负责。 </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3.2运营期间，如遇工商、税务、交通、保险等事宜由</w:t>
      </w:r>
      <w:r>
        <w:rPr>
          <w:rFonts w:hint="eastAsia" w:ascii="仿宋_GB2312" w:hAnsi="仿宋_GB2312" w:eastAsia="仿宋_GB2312" w:cs="仿宋_GB2312"/>
          <w:color w:val="auto"/>
          <w:sz w:val="28"/>
          <w:szCs w:val="28"/>
          <w:lang w:eastAsia="zh-CN"/>
        </w:rPr>
        <w:t>响应</w:t>
      </w:r>
      <w:r>
        <w:rPr>
          <w:rFonts w:hint="eastAsia" w:ascii="仿宋_GB2312" w:hAnsi="仿宋_GB2312" w:eastAsia="仿宋_GB2312" w:cs="仿宋_GB2312"/>
          <w:color w:val="auto"/>
          <w:sz w:val="28"/>
          <w:szCs w:val="28"/>
        </w:rPr>
        <w:t xml:space="preserve">方自行负责解决。 </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3.3运营期间，电费及电动观光车日常维护等费用由</w:t>
      </w:r>
      <w:r>
        <w:rPr>
          <w:rFonts w:hint="eastAsia" w:ascii="仿宋_GB2312" w:hAnsi="仿宋_GB2312" w:eastAsia="仿宋_GB2312" w:cs="仿宋_GB2312"/>
          <w:color w:val="auto"/>
          <w:sz w:val="28"/>
          <w:szCs w:val="28"/>
          <w:lang w:eastAsia="zh-CN"/>
        </w:rPr>
        <w:t>响应</w:t>
      </w:r>
      <w:r>
        <w:rPr>
          <w:rFonts w:hint="eastAsia" w:ascii="仿宋_GB2312" w:hAnsi="仿宋_GB2312" w:eastAsia="仿宋_GB2312" w:cs="仿宋_GB2312"/>
          <w:color w:val="auto"/>
          <w:sz w:val="28"/>
          <w:szCs w:val="28"/>
        </w:rPr>
        <w:t xml:space="preserve">方自行承担。 </w:t>
      </w:r>
    </w:p>
    <w:p>
      <w:pPr>
        <w:keepNext w:val="0"/>
        <w:keepLines w:val="0"/>
        <w:pageBreakBefore w:val="0"/>
        <w:widowControl w:val="0"/>
        <w:kinsoku/>
        <w:wordWrap/>
        <w:overflowPunct/>
        <w:topLinePunct w:val="0"/>
        <w:autoSpaceDE/>
        <w:autoSpaceDN/>
        <w:bidi w:val="0"/>
        <w:adjustRightInd/>
        <w:snapToGrid/>
        <w:spacing w:line="540" w:lineRule="exact"/>
        <w:ind w:firstLine="562" w:firstLineChars="200"/>
        <w:textAlignment w:val="auto"/>
        <w:rPr>
          <w:rFonts w:hint="eastAsia"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rPr>
        <w:t>五、</w:t>
      </w:r>
      <w:r>
        <w:rPr>
          <w:rFonts w:hint="eastAsia" w:ascii="仿宋_GB2312" w:hAnsi="仿宋_GB2312" w:eastAsia="仿宋_GB2312" w:cs="仿宋_GB2312"/>
          <w:b/>
          <w:bCs/>
          <w:color w:val="auto"/>
          <w:sz w:val="28"/>
          <w:szCs w:val="28"/>
          <w:lang w:eastAsia="zh-CN"/>
        </w:rPr>
        <w:t>响应</w:t>
      </w:r>
      <w:r>
        <w:rPr>
          <w:rFonts w:hint="eastAsia" w:ascii="仿宋_GB2312" w:hAnsi="仿宋_GB2312" w:eastAsia="仿宋_GB2312" w:cs="仿宋_GB2312"/>
          <w:b/>
          <w:bCs/>
          <w:color w:val="auto"/>
          <w:sz w:val="28"/>
          <w:szCs w:val="28"/>
        </w:rPr>
        <w:t>保证金</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eastAsia="zh-CN"/>
        </w:rPr>
        <w:t>响应</w:t>
      </w:r>
      <w:r>
        <w:rPr>
          <w:rFonts w:hint="eastAsia" w:ascii="仿宋_GB2312" w:hAnsi="仿宋_GB2312" w:eastAsia="仿宋_GB2312" w:cs="仿宋_GB2312"/>
          <w:color w:val="auto"/>
          <w:sz w:val="28"/>
          <w:szCs w:val="28"/>
        </w:rPr>
        <w:t>保证金的形式：</w:t>
      </w:r>
      <w:r>
        <w:rPr>
          <w:rFonts w:hint="eastAsia" w:ascii="仿宋_GB2312" w:hAnsi="仿宋_GB2312" w:eastAsia="仿宋_GB2312" w:cs="仿宋_GB2312"/>
          <w:color w:val="auto"/>
          <w:sz w:val="28"/>
          <w:szCs w:val="28"/>
          <w:lang w:eastAsia="zh-CN"/>
        </w:rPr>
        <w:t>响应</w:t>
      </w:r>
      <w:r>
        <w:rPr>
          <w:rFonts w:hint="eastAsia" w:ascii="仿宋_GB2312" w:hAnsi="仿宋_GB2312" w:eastAsia="仿宋_GB2312" w:cs="仿宋_GB2312"/>
          <w:color w:val="auto"/>
          <w:sz w:val="28"/>
          <w:szCs w:val="28"/>
        </w:rPr>
        <w:t>保证金必须通过</w:t>
      </w:r>
      <w:r>
        <w:rPr>
          <w:rFonts w:hint="eastAsia" w:ascii="仿宋_GB2312" w:hAnsi="仿宋_GB2312" w:eastAsia="仿宋_GB2312" w:cs="仿宋_GB2312"/>
          <w:color w:val="auto"/>
          <w:sz w:val="28"/>
          <w:szCs w:val="28"/>
          <w:lang w:eastAsia="zh-CN"/>
        </w:rPr>
        <w:t>响应</w:t>
      </w:r>
      <w:r>
        <w:rPr>
          <w:rFonts w:hint="eastAsia" w:ascii="仿宋_GB2312" w:hAnsi="仿宋_GB2312" w:eastAsia="仿宋_GB2312" w:cs="仿宋_GB2312"/>
          <w:color w:val="auto"/>
          <w:sz w:val="28"/>
          <w:szCs w:val="28"/>
        </w:rPr>
        <w:t>人的基本账户以银行转账方式缴纳，退前均不计息。</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eastAsia="zh-CN"/>
        </w:rPr>
        <w:t>响应</w:t>
      </w:r>
      <w:r>
        <w:rPr>
          <w:rFonts w:hint="eastAsia" w:ascii="仿宋_GB2312" w:hAnsi="仿宋_GB2312" w:eastAsia="仿宋_GB2312" w:cs="仿宋_GB2312"/>
          <w:color w:val="auto"/>
          <w:sz w:val="28"/>
          <w:szCs w:val="28"/>
        </w:rPr>
        <w:t>保证金的金额：人民币壹万圆整</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开户单位：</w:t>
      </w:r>
      <w:r>
        <w:rPr>
          <w:rFonts w:hint="eastAsia" w:ascii="仿宋_GB2312" w:hAnsi="仿宋_GB2312" w:eastAsia="仿宋_GB2312" w:cs="仿宋_GB2312"/>
          <w:color w:val="auto"/>
          <w:sz w:val="28"/>
          <w:szCs w:val="28"/>
          <w:lang w:eastAsia="zh-CN"/>
        </w:rPr>
        <w:t>河南理工大学</w:t>
      </w:r>
      <w:r>
        <w:rPr>
          <w:rFonts w:hint="eastAsia" w:ascii="仿宋_GB2312" w:hAnsi="仿宋_GB2312" w:eastAsia="仿宋_GB2312" w:cs="仿宋_GB2312"/>
          <w:color w:val="auto"/>
          <w:sz w:val="28"/>
          <w:szCs w:val="28"/>
        </w:rPr>
        <w:t xml:space="preserve">  </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rPr>
        <w:t>开户银行：</w:t>
      </w:r>
      <w:r>
        <w:rPr>
          <w:rFonts w:hint="eastAsia" w:ascii="仿宋_GB2312" w:hAnsi="仿宋_GB2312" w:eastAsia="仿宋_GB2312" w:cs="仿宋_GB2312"/>
          <w:color w:val="auto"/>
          <w:sz w:val="28"/>
          <w:szCs w:val="28"/>
          <w:lang w:eastAsia="zh-CN"/>
        </w:rPr>
        <w:t>农行焦作理工大学分理处</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帐    号：</w:t>
      </w:r>
      <w:r>
        <w:rPr>
          <w:rFonts w:hint="eastAsia" w:ascii="仿宋_GB2312" w:hAnsi="仿宋_GB2312" w:eastAsia="仿宋_GB2312" w:cs="仿宋_GB2312"/>
          <w:color w:val="auto"/>
          <w:sz w:val="28"/>
          <w:szCs w:val="28"/>
          <w:lang w:val="en-US" w:eastAsia="zh-CN"/>
        </w:rPr>
        <w:t>16302301040000264</w:t>
      </w:r>
      <w:r>
        <w:rPr>
          <w:rFonts w:hint="eastAsia" w:ascii="仿宋_GB2312" w:hAnsi="仿宋_GB2312" w:eastAsia="仿宋_GB2312" w:cs="仿宋_GB2312"/>
          <w:color w:val="auto"/>
          <w:sz w:val="28"/>
          <w:szCs w:val="28"/>
        </w:rPr>
        <w:t xml:space="preserve">       </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eastAsia="zh-CN"/>
        </w:rPr>
        <w:t>报名时间：</w:t>
      </w:r>
      <w:r>
        <w:rPr>
          <w:rFonts w:hint="eastAsia" w:ascii="仿宋_GB2312" w:hAnsi="仿宋_GB2312" w:eastAsia="仿宋_GB2312" w:cs="仿宋_GB2312"/>
          <w:color w:val="auto"/>
          <w:sz w:val="28"/>
          <w:szCs w:val="28"/>
          <w:lang w:val="en-US" w:eastAsia="zh-CN"/>
        </w:rPr>
        <w:t>2020年10月26日-10月28日</w:t>
      </w:r>
      <w:r>
        <w:rPr>
          <w:rFonts w:hint="eastAsia" w:ascii="仿宋_GB2312" w:hAnsi="仿宋_GB2312" w:eastAsia="仿宋_GB2312" w:cs="仿宋_GB2312"/>
          <w:color w:val="auto"/>
          <w:sz w:val="28"/>
          <w:szCs w:val="28"/>
        </w:rPr>
        <w:t xml:space="preserve">         </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lang w:eastAsia="zh-CN"/>
        </w:rPr>
        <w:t>响应保证金交款截止时间：</w:t>
      </w:r>
      <w:r>
        <w:rPr>
          <w:rFonts w:hint="eastAsia" w:ascii="仿宋_GB2312" w:hAnsi="仿宋_GB2312" w:eastAsia="仿宋_GB2312" w:cs="仿宋_GB2312"/>
          <w:color w:val="auto"/>
          <w:sz w:val="28"/>
          <w:szCs w:val="28"/>
          <w:lang w:val="en-US" w:eastAsia="zh-CN"/>
        </w:rPr>
        <w:t>2020</w:t>
      </w:r>
      <w:r>
        <w:rPr>
          <w:rFonts w:hint="eastAsia" w:ascii="仿宋_GB2312" w:hAnsi="仿宋_GB2312" w:eastAsia="仿宋_GB2312" w:cs="仿宋_GB2312"/>
          <w:color w:val="auto"/>
          <w:sz w:val="28"/>
          <w:szCs w:val="28"/>
          <w:lang w:eastAsia="zh-CN"/>
        </w:rPr>
        <w:t>年</w:t>
      </w:r>
      <w:r>
        <w:rPr>
          <w:rFonts w:hint="eastAsia" w:ascii="仿宋_GB2312" w:hAnsi="仿宋_GB2312" w:eastAsia="仿宋_GB2312" w:cs="仿宋_GB2312"/>
          <w:color w:val="auto"/>
          <w:sz w:val="28"/>
          <w:szCs w:val="28"/>
          <w:lang w:val="en-US" w:eastAsia="zh-CN"/>
        </w:rPr>
        <w:t>10</w:t>
      </w:r>
      <w:r>
        <w:rPr>
          <w:rFonts w:hint="eastAsia" w:ascii="仿宋_GB2312" w:hAnsi="仿宋_GB2312" w:eastAsia="仿宋_GB2312" w:cs="仿宋_GB2312"/>
          <w:color w:val="auto"/>
          <w:sz w:val="28"/>
          <w:szCs w:val="28"/>
          <w:lang w:eastAsia="zh-CN"/>
        </w:rPr>
        <w:t>月</w:t>
      </w:r>
      <w:r>
        <w:rPr>
          <w:rFonts w:hint="eastAsia" w:ascii="仿宋_GB2312" w:hAnsi="仿宋_GB2312" w:eastAsia="仿宋_GB2312" w:cs="仿宋_GB2312"/>
          <w:color w:val="auto"/>
          <w:sz w:val="28"/>
          <w:szCs w:val="28"/>
          <w:lang w:val="en-US" w:eastAsia="zh-CN"/>
        </w:rPr>
        <w:t>28</w:t>
      </w:r>
      <w:r>
        <w:rPr>
          <w:rFonts w:hint="eastAsia" w:ascii="仿宋_GB2312" w:hAnsi="仿宋_GB2312" w:eastAsia="仿宋_GB2312" w:cs="仿宋_GB2312"/>
          <w:color w:val="auto"/>
          <w:sz w:val="28"/>
          <w:szCs w:val="28"/>
          <w:lang w:eastAsia="zh-CN"/>
        </w:rPr>
        <w:t>日1</w:t>
      </w:r>
      <w:r>
        <w:rPr>
          <w:rFonts w:hint="eastAsia" w:ascii="仿宋_GB2312" w:hAnsi="仿宋_GB2312" w:eastAsia="仿宋_GB2312" w:cs="仿宋_GB2312"/>
          <w:color w:val="auto"/>
          <w:sz w:val="28"/>
          <w:szCs w:val="28"/>
          <w:lang w:val="en-US" w:eastAsia="zh-CN"/>
        </w:rPr>
        <w:t>7</w:t>
      </w:r>
      <w:r>
        <w:rPr>
          <w:rFonts w:hint="eastAsia" w:ascii="仿宋_GB2312" w:hAnsi="仿宋_GB2312" w:eastAsia="仿宋_GB2312" w:cs="仿宋_GB2312"/>
          <w:color w:val="auto"/>
          <w:sz w:val="28"/>
          <w:szCs w:val="28"/>
          <w:lang w:eastAsia="zh-CN"/>
        </w:rPr>
        <w:t>时00 分前(以到账时间为准)。备注：河南理工大学观光车响应保证金。转账成功后，于当日通知河南理工大学后勤管理处（集团）学术交流中心查账，联系电话：</w:t>
      </w:r>
      <w:r>
        <w:rPr>
          <w:rFonts w:hint="eastAsia" w:ascii="仿宋_GB2312" w:hAnsi="仿宋_GB2312" w:eastAsia="仿宋_GB2312" w:cs="仿宋_GB2312"/>
          <w:color w:val="auto"/>
          <w:sz w:val="28"/>
          <w:szCs w:val="28"/>
          <w:lang w:val="en-US" w:eastAsia="zh-CN"/>
        </w:rPr>
        <w:t>3980019，核实到账后，进行报名信息登记，报名单位须将本单位营业执照扫描件、法人证明及委托授权书扫描件打包发送至yunshu@hpu.edu.cn邮箱，逾期到账或未及时提供报名信息，将取消</w:t>
      </w:r>
      <w:r>
        <w:rPr>
          <w:rFonts w:hint="eastAsia" w:ascii="仿宋_GB2312" w:hAnsi="仿宋_GB2312" w:eastAsia="仿宋_GB2312" w:cs="仿宋_GB2312"/>
          <w:color w:val="auto"/>
          <w:sz w:val="28"/>
          <w:szCs w:val="28"/>
          <w:lang w:eastAsia="zh-CN"/>
        </w:rPr>
        <w:t>响应人资格。请响应人将银行缴款单盖响应人鲜章装订在响应文件里与响应文件一起递交。</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lang w:eastAsia="zh-CN"/>
        </w:rPr>
        <w:t>发出中标通知书并签订合同后5日内，响应保证金(不计息)退还到投标人的基本账户。未中标人凭响应保证金缴款单原件退还；中标人凭投标保证金缴款单复印件转存为履约保证金。（如遇学校假期，投标保证金于开校后无息退还）</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eastAsia="zh-CN"/>
        </w:rPr>
        <w:t>履约</w:t>
      </w:r>
      <w:r>
        <w:rPr>
          <w:rFonts w:hint="eastAsia" w:ascii="仿宋_GB2312" w:hAnsi="仿宋_GB2312" w:eastAsia="仿宋_GB2312" w:cs="仿宋_GB2312"/>
          <w:color w:val="auto"/>
          <w:sz w:val="28"/>
          <w:szCs w:val="28"/>
        </w:rPr>
        <w:t>保证金不予退还的情形：</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w:t>
      </w:r>
      <w:r>
        <w:rPr>
          <w:rFonts w:hint="eastAsia" w:ascii="仿宋_GB2312" w:hAnsi="仿宋_GB2312" w:eastAsia="仿宋_GB2312" w:cs="仿宋_GB2312"/>
          <w:color w:val="auto"/>
          <w:sz w:val="28"/>
          <w:szCs w:val="28"/>
          <w:lang w:eastAsia="zh-CN"/>
        </w:rPr>
        <w:t>响应</w:t>
      </w:r>
      <w:r>
        <w:rPr>
          <w:rFonts w:hint="eastAsia" w:ascii="仿宋_GB2312" w:hAnsi="仿宋_GB2312" w:eastAsia="仿宋_GB2312" w:cs="仿宋_GB2312"/>
          <w:color w:val="auto"/>
          <w:sz w:val="28"/>
          <w:szCs w:val="28"/>
        </w:rPr>
        <w:t>人在</w:t>
      </w:r>
      <w:r>
        <w:rPr>
          <w:rFonts w:hint="eastAsia" w:ascii="仿宋_GB2312" w:hAnsi="仿宋_GB2312" w:eastAsia="仿宋_GB2312" w:cs="仿宋_GB2312"/>
          <w:color w:val="auto"/>
          <w:sz w:val="28"/>
          <w:szCs w:val="28"/>
          <w:lang w:eastAsia="zh-CN"/>
        </w:rPr>
        <w:t>竞争性磋商</w:t>
      </w:r>
      <w:r>
        <w:rPr>
          <w:rFonts w:hint="eastAsia" w:ascii="仿宋_GB2312" w:hAnsi="仿宋_GB2312" w:eastAsia="仿宋_GB2312" w:cs="仿宋_GB2312"/>
          <w:color w:val="auto"/>
          <w:sz w:val="28"/>
          <w:szCs w:val="28"/>
        </w:rPr>
        <w:t>活动中串通投标、弄虚作假的。</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（2）中标但拒签合同。“拒签合同”是指：</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A.明示不与招标人签订合同；</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B.没有明示但不按照</w:t>
      </w:r>
      <w:r>
        <w:rPr>
          <w:rFonts w:hint="eastAsia" w:ascii="仿宋_GB2312" w:hAnsi="仿宋_GB2312" w:eastAsia="仿宋_GB2312" w:cs="仿宋_GB2312"/>
          <w:color w:val="auto"/>
          <w:sz w:val="28"/>
          <w:szCs w:val="28"/>
          <w:lang w:eastAsia="zh-CN"/>
        </w:rPr>
        <w:t>磋商</w:t>
      </w:r>
      <w:r>
        <w:rPr>
          <w:rFonts w:hint="eastAsia" w:ascii="仿宋_GB2312" w:hAnsi="仿宋_GB2312" w:eastAsia="仿宋_GB2312" w:cs="仿宋_GB2312"/>
          <w:color w:val="auto"/>
          <w:sz w:val="28"/>
          <w:szCs w:val="28"/>
        </w:rPr>
        <w:t>文件、中标人的</w:t>
      </w:r>
      <w:r>
        <w:rPr>
          <w:rFonts w:hint="eastAsia" w:ascii="仿宋_GB2312" w:hAnsi="仿宋_GB2312" w:eastAsia="仿宋_GB2312" w:cs="仿宋_GB2312"/>
          <w:color w:val="auto"/>
          <w:sz w:val="28"/>
          <w:szCs w:val="28"/>
          <w:lang w:eastAsia="zh-CN"/>
        </w:rPr>
        <w:t>响应</w:t>
      </w:r>
      <w:r>
        <w:rPr>
          <w:rFonts w:hint="eastAsia" w:ascii="仿宋_GB2312" w:hAnsi="仿宋_GB2312" w:eastAsia="仿宋_GB2312" w:cs="仿宋_GB2312"/>
          <w:color w:val="auto"/>
          <w:sz w:val="28"/>
          <w:szCs w:val="28"/>
        </w:rPr>
        <w:t>文件、中标通知书要求与招标人签订合同。</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w:t>
      </w:r>
      <w:r>
        <w:rPr>
          <w:rFonts w:hint="eastAsia" w:ascii="仿宋_GB2312" w:hAnsi="仿宋_GB2312" w:eastAsia="仿宋_GB2312" w:cs="仿宋_GB2312"/>
          <w:color w:val="auto"/>
          <w:sz w:val="28"/>
          <w:szCs w:val="28"/>
          <w:lang w:eastAsia="zh-CN"/>
        </w:rPr>
        <w:t>响应</w:t>
      </w:r>
      <w:r>
        <w:rPr>
          <w:rFonts w:hint="eastAsia" w:ascii="仿宋_GB2312" w:hAnsi="仿宋_GB2312" w:eastAsia="仿宋_GB2312" w:cs="仿宋_GB2312"/>
          <w:color w:val="auto"/>
          <w:sz w:val="28"/>
          <w:szCs w:val="28"/>
        </w:rPr>
        <w:t>人在</w:t>
      </w:r>
      <w:r>
        <w:rPr>
          <w:rFonts w:hint="eastAsia" w:ascii="仿宋_GB2312" w:hAnsi="仿宋_GB2312" w:eastAsia="仿宋_GB2312" w:cs="仿宋_GB2312"/>
          <w:color w:val="auto"/>
          <w:sz w:val="28"/>
          <w:szCs w:val="28"/>
          <w:lang w:eastAsia="zh-CN"/>
        </w:rPr>
        <w:t>响应</w:t>
      </w:r>
      <w:r>
        <w:rPr>
          <w:rFonts w:hint="eastAsia" w:ascii="仿宋_GB2312" w:hAnsi="仿宋_GB2312" w:eastAsia="仿宋_GB2312" w:cs="仿宋_GB2312"/>
          <w:color w:val="auto"/>
          <w:sz w:val="28"/>
          <w:szCs w:val="28"/>
        </w:rPr>
        <w:t>时违反招标文件等有关规定的违约行为。</w:t>
      </w:r>
    </w:p>
    <w:p>
      <w:pPr>
        <w:keepNext w:val="0"/>
        <w:keepLines w:val="0"/>
        <w:pageBreakBefore w:val="0"/>
        <w:widowControl w:val="0"/>
        <w:kinsoku/>
        <w:wordWrap/>
        <w:overflowPunct/>
        <w:topLinePunct w:val="0"/>
        <w:autoSpaceDE/>
        <w:autoSpaceDN/>
        <w:bidi w:val="0"/>
        <w:adjustRightInd/>
        <w:snapToGrid/>
        <w:spacing w:line="540" w:lineRule="exact"/>
        <w:ind w:firstLine="562" w:firstLineChars="200"/>
        <w:textAlignment w:val="auto"/>
        <w:rPr>
          <w:rFonts w:hint="eastAsia"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rPr>
        <w:t>六、</w:t>
      </w:r>
      <w:r>
        <w:rPr>
          <w:rFonts w:hint="eastAsia" w:ascii="仿宋_GB2312" w:hAnsi="仿宋_GB2312" w:eastAsia="仿宋_GB2312" w:cs="仿宋_GB2312"/>
          <w:b/>
          <w:bCs/>
          <w:color w:val="auto"/>
          <w:sz w:val="28"/>
          <w:szCs w:val="28"/>
          <w:lang w:eastAsia="zh-CN"/>
        </w:rPr>
        <w:t>服务</w:t>
      </w:r>
      <w:r>
        <w:rPr>
          <w:rFonts w:hint="eastAsia" w:ascii="仿宋_GB2312" w:hAnsi="仿宋_GB2312" w:eastAsia="仿宋_GB2312" w:cs="仿宋_GB2312"/>
          <w:b/>
          <w:bCs/>
          <w:color w:val="auto"/>
          <w:sz w:val="28"/>
          <w:szCs w:val="28"/>
        </w:rPr>
        <w:t>保证金</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合同签订前，</w:t>
      </w:r>
      <w:r>
        <w:rPr>
          <w:rFonts w:hint="eastAsia" w:ascii="仿宋_GB2312" w:hAnsi="仿宋_GB2312" w:eastAsia="仿宋_GB2312" w:cs="仿宋_GB2312"/>
          <w:color w:val="auto"/>
          <w:sz w:val="28"/>
          <w:szCs w:val="28"/>
          <w:lang w:eastAsia="zh-CN"/>
        </w:rPr>
        <w:t>中标</w:t>
      </w:r>
      <w:r>
        <w:rPr>
          <w:rFonts w:hint="eastAsia" w:ascii="仿宋_GB2312" w:hAnsi="仿宋_GB2312" w:eastAsia="仿宋_GB2312" w:cs="仿宋_GB2312"/>
          <w:color w:val="auto"/>
          <w:sz w:val="28"/>
          <w:szCs w:val="28"/>
        </w:rPr>
        <w:t>单位需向学校缴纳人民币</w:t>
      </w:r>
      <w:r>
        <w:rPr>
          <w:rFonts w:hint="eastAsia" w:ascii="仿宋_GB2312" w:hAnsi="仿宋_GB2312" w:eastAsia="仿宋_GB2312" w:cs="仿宋_GB2312"/>
          <w:color w:val="auto"/>
          <w:sz w:val="28"/>
          <w:szCs w:val="28"/>
          <w:lang w:val="en-US" w:eastAsia="zh-CN"/>
        </w:rPr>
        <w:t>捌</w:t>
      </w:r>
      <w:r>
        <w:rPr>
          <w:rFonts w:hint="eastAsia" w:ascii="仿宋_GB2312" w:hAnsi="仿宋_GB2312" w:eastAsia="仿宋_GB2312" w:cs="仿宋_GB2312"/>
          <w:color w:val="auto"/>
          <w:sz w:val="28"/>
          <w:szCs w:val="28"/>
        </w:rPr>
        <w:t>万元</w:t>
      </w:r>
      <w:r>
        <w:rPr>
          <w:rFonts w:hint="eastAsia" w:ascii="仿宋_GB2312" w:hAnsi="仿宋_GB2312" w:eastAsia="仿宋_GB2312" w:cs="仿宋_GB2312"/>
          <w:color w:val="auto"/>
          <w:sz w:val="28"/>
          <w:szCs w:val="28"/>
          <w:lang w:eastAsia="zh-CN"/>
        </w:rPr>
        <w:t>（每台车壹万元）</w:t>
      </w:r>
      <w:r>
        <w:rPr>
          <w:rFonts w:hint="eastAsia" w:ascii="仿宋_GB2312" w:hAnsi="仿宋_GB2312" w:eastAsia="仿宋_GB2312" w:cs="仿宋_GB2312"/>
          <w:color w:val="auto"/>
          <w:sz w:val="28"/>
          <w:szCs w:val="28"/>
        </w:rPr>
        <w:t>作为</w:t>
      </w:r>
      <w:r>
        <w:rPr>
          <w:rFonts w:hint="eastAsia" w:ascii="仿宋_GB2312" w:hAnsi="仿宋_GB2312" w:eastAsia="仿宋_GB2312" w:cs="仿宋_GB2312"/>
          <w:color w:val="auto"/>
          <w:sz w:val="28"/>
          <w:szCs w:val="28"/>
          <w:lang w:eastAsia="zh-CN"/>
        </w:rPr>
        <w:t>服务</w:t>
      </w:r>
      <w:r>
        <w:rPr>
          <w:rFonts w:hint="eastAsia" w:ascii="仿宋_GB2312" w:hAnsi="仿宋_GB2312" w:eastAsia="仿宋_GB2312" w:cs="仿宋_GB2312"/>
          <w:color w:val="auto"/>
          <w:sz w:val="28"/>
          <w:szCs w:val="28"/>
        </w:rPr>
        <w:t>保证金，</w:t>
      </w:r>
      <w:r>
        <w:rPr>
          <w:rFonts w:hint="eastAsia" w:ascii="仿宋_GB2312" w:hAnsi="仿宋_GB2312" w:eastAsia="仿宋_GB2312" w:cs="仿宋_GB2312"/>
          <w:color w:val="auto"/>
          <w:sz w:val="28"/>
          <w:szCs w:val="28"/>
          <w:lang w:eastAsia="zh-CN"/>
        </w:rPr>
        <w:t>履约保证金可转存为部分服务</w:t>
      </w:r>
      <w:r>
        <w:rPr>
          <w:rFonts w:hint="eastAsia" w:ascii="仿宋_GB2312" w:hAnsi="仿宋_GB2312" w:eastAsia="仿宋_GB2312" w:cs="仿宋_GB2312"/>
          <w:color w:val="auto"/>
          <w:sz w:val="28"/>
          <w:szCs w:val="28"/>
        </w:rPr>
        <w:t>保证金</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rPr>
        <w:t>在合同约定期限满后，无息退还。</w:t>
      </w:r>
    </w:p>
    <w:p>
      <w:pPr>
        <w:keepNext w:val="0"/>
        <w:keepLines w:val="0"/>
        <w:pageBreakBefore w:val="0"/>
        <w:widowControl w:val="0"/>
        <w:kinsoku/>
        <w:wordWrap/>
        <w:overflowPunct/>
        <w:topLinePunct w:val="0"/>
        <w:autoSpaceDE/>
        <w:autoSpaceDN/>
        <w:bidi w:val="0"/>
        <w:adjustRightInd/>
        <w:snapToGrid/>
        <w:spacing w:line="540" w:lineRule="exact"/>
        <w:ind w:firstLine="562" w:firstLineChars="200"/>
        <w:textAlignment w:val="auto"/>
        <w:rPr>
          <w:rFonts w:hint="eastAsia"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rPr>
        <w:t>七、</w:t>
      </w:r>
      <w:r>
        <w:rPr>
          <w:rFonts w:hint="eastAsia" w:ascii="仿宋_GB2312" w:hAnsi="仿宋_GB2312" w:eastAsia="仿宋_GB2312" w:cs="仿宋_GB2312"/>
          <w:b/>
          <w:bCs/>
          <w:color w:val="auto"/>
          <w:sz w:val="28"/>
          <w:szCs w:val="28"/>
          <w:lang w:eastAsia="zh-CN"/>
        </w:rPr>
        <w:t>响应</w:t>
      </w:r>
      <w:r>
        <w:rPr>
          <w:rFonts w:hint="eastAsia" w:ascii="仿宋_GB2312" w:hAnsi="仿宋_GB2312" w:eastAsia="仿宋_GB2312" w:cs="仿宋_GB2312"/>
          <w:b/>
          <w:bCs/>
          <w:color w:val="auto"/>
          <w:sz w:val="28"/>
          <w:szCs w:val="28"/>
        </w:rPr>
        <w:t>报价要求</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rPr>
        <w:t xml:space="preserve">   按附件1（投标函格式填报），资源占用费一年一缴，</w:t>
      </w:r>
      <w:r>
        <w:rPr>
          <w:rFonts w:hint="eastAsia" w:ascii="仿宋_GB2312" w:hAnsi="仿宋_GB2312" w:eastAsia="仿宋_GB2312" w:cs="仿宋_GB2312"/>
          <w:color w:val="auto"/>
          <w:sz w:val="28"/>
          <w:szCs w:val="28"/>
          <w:lang w:eastAsia="zh-CN"/>
        </w:rPr>
        <w:t>每年</w:t>
      </w:r>
      <w:r>
        <w:rPr>
          <w:rFonts w:hint="eastAsia" w:ascii="仿宋_GB2312" w:hAnsi="仿宋_GB2312" w:eastAsia="仿宋_GB2312" w:cs="仿宋_GB2312"/>
          <w:color w:val="auto"/>
          <w:sz w:val="28"/>
          <w:szCs w:val="28"/>
          <w:lang w:val="en-US" w:eastAsia="zh-CN"/>
        </w:rPr>
        <w:t>3月1日前缴纳到位。</w:t>
      </w:r>
    </w:p>
    <w:p>
      <w:pPr>
        <w:keepNext w:val="0"/>
        <w:keepLines w:val="0"/>
        <w:pageBreakBefore w:val="0"/>
        <w:widowControl w:val="0"/>
        <w:kinsoku/>
        <w:wordWrap/>
        <w:overflowPunct/>
        <w:topLinePunct w:val="0"/>
        <w:autoSpaceDE/>
        <w:autoSpaceDN/>
        <w:bidi w:val="0"/>
        <w:adjustRightInd/>
        <w:snapToGrid/>
        <w:spacing w:line="540" w:lineRule="exact"/>
        <w:ind w:firstLine="562"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b/>
          <w:bCs/>
          <w:color w:val="auto"/>
          <w:sz w:val="28"/>
          <w:szCs w:val="28"/>
        </w:rPr>
        <w:t>八、</w:t>
      </w:r>
      <w:r>
        <w:rPr>
          <w:rFonts w:hint="eastAsia" w:ascii="仿宋_GB2312" w:hAnsi="仿宋_GB2312" w:eastAsia="仿宋_GB2312" w:cs="仿宋_GB2312"/>
          <w:b/>
          <w:bCs/>
          <w:color w:val="auto"/>
          <w:sz w:val="28"/>
          <w:szCs w:val="28"/>
          <w:lang w:eastAsia="zh-CN"/>
        </w:rPr>
        <w:t>响应</w:t>
      </w:r>
      <w:r>
        <w:rPr>
          <w:rFonts w:hint="eastAsia" w:ascii="仿宋_GB2312" w:hAnsi="仿宋_GB2312" w:eastAsia="仿宋_GB2312" w:cs="仿宋_GB2312"/>
          <w:b/>
          <w:bCs/>
          <w:color w:val="auto"/>
          <w:sz w:val="28"/>
          <w:szCs w:val="28"/>
        </w:rPr>
        <w:t>文件的组成</w:t>
      </w:r>
      <w:r>
        <w:rPr>
          <w:rFonts w:hint="eastAsia" w:ascii="仿宋_GB2312" w:hAnsi="仿宋_GB2312" w:eastAsia="仿宋_GB2312" w:cs="仿宋_GB2312"/>
          <w:color w:val="auto"/>
          <w:sz w:val="28"/>
          <w:szCs w:val="28"/>
        </w:rPr>
        <w:t xml:space="preserve"> </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eastAsia="zh-CN"/>
        </w:rPr>
        <w:t>响应</w:t>
      </w:r>
      <w:r>
        <w:rPr>
          <w:rFonts w:hint="eastAsia" w:ascii="仿宋_GB2312" w:hAnsi="仿宋_GB2312" w:eastAsia="仿宋_GB2312" w:cs="仿宋_GB2312"/>
          <w:color w:val="auto"/>
          <w:sz w:val="28"/>
          <w:szCs w:val="28"/>
        </w:rPr>
        <w:t xml:space="preserve">文件应包括下列部分： </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rPr>
        <w:t xml:space="preserve">资格证明文件须加盖投标人公章: </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rPr>
        <w:t xml:space="preserve">法人委托授权书须加盖投标人公章(非法定代表人为投标人代表参加投标时)； </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rPr>
        <w:t>通过年检合格的《企业法人营业执照》副本复印件须加盖投标人公章；(三证合一)</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4</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rPr>
        <w:t>投标函及声明</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rPr>
        <w:t>（附件</w:t>
      </w:r>
      <w:r>
        <w:rPr>
          <w:rFonts w:hint="eastAsia" w:ascii="仿宋_GB2312" w:hAnsi="仿宋_GB2312" w:eastAsia="仿宋_GB2312" w:cs="仿宋_GB2312"/>
          <w:color w:val="auto"/>
          <w:sz w:val="28"/>
          <w:szCs w:val="28"/>
          <w:lang w:val="en-US" w:eastAsia="zh-CN"/>
        </w:rPr>
        <w:t>1</w:t>
      </w:r>
      <w:r>
        <w:rPr>
          <w:rFonts w:hint="eastAsia" w:ascii="仿宋_GB2312" w:hAnsi="仿宋_GB2312" w:eastAsia="仿宋_GB2312" w:cs="仿宋_GB2312"/>
          <w:color w:val="auto"/>
          <w:sz w:val="28"/>
          <w:szCs w:val="28"/>
        </w:rPr>
        <w:t>、</w:t>
      </w:r>
      <w:r>
        <w:rPr>
          <w:rFonts w:hint="eastAsia" w:ascii="仿宋_GB2312" w:hAnsi="仿宋_GB2312" w:eastAsia="仿宋_GB2312" w:cs="仿宋_GB2312"/>
          <w:color w:val="auto"/>
          <w:sz w:val="28"/>
          <w:szCs w:val="28"/>
          <w:lang w:val="en-US" w:eastAsia="zh-CN"/>
        </w:rPr>
        <w:t>2</w:t>
      </w:r>
      <w:r>
        <w:rPr>
          <w:rFonts w:hint="eastAsia" w:ascii="仿宋_GB2312" w:hAnsi="仿宋_GB2312" w:eastAsia="仿宋_GB2312" w:cs="仿宋_GB2312"/>
          <w:color w:val="auto"/>
          <w:sz w:val="28"/>
          <w:szCs w:val="28"/>
        </w:rPr>
        <w:t>）</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 xml:space="preserve">5 </w:t>
      </w:r>
      <w:r>
        <w:rPr>
          <w:rFonts w:hint="eastAsia" w:ascii="仿宋_GB2312" w:hAnsi="仿宋_GB2312" w:eastAsia="仿宋_GB2312" w:cs="仿宋_GB2312"/>
          <w:color w:val="000000" w:themeColor="text1"/>
          <w:sz w:val="28"/>
          <w:szCs w:val="28"/>
          <w:lang w:eastAsia="zh-CN"/>
          <w14:textFill>
            <w14:solidFill>
              <w14:schemeClr w14:val="tx1"/>
            </w14:solidFill>
          </w14:textFill>
        </w:rPr>
        <w:t>投标人没有被列入“失信被执行人”、“重大税收违法案件当事人名单”黑名单情况，提供“信用中国”网站（www.creditchina.gov.cn）和“全国法院失信被执行人名单信息公布与查询”网站查询信息截图打印页，信用记录网络查询截图加盖公章。</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lang w:val="en-US" w:eastAsia="zh-CN"/>
        </w:rPr>
        <w:t>6</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rPr>
        <w:t>运营要求提供的其他相关资料；</w:t>
      </w:r>
      <w:r>
        <w:rPr>
          <w:rFonts w:hint="eastAsia" w:ascii="仿宋_GB2312" w:hAnsi="仿宋_GB2312" w:eastAsia="仿宋_GB2312" w:cs="仿宋_GB2312"/>
          <w:color w:val="auto"/>
          <w:sz w:val="28"/>
          <w:szCs w:val="28"/>
          <w:lang w:eastAsia="zh-CN"/>
        </w:rPr>
        <w:t>（附</w:t>
      </w:r>
      <w:r>
        <w:rPr>
          <w:rFonts w:hint="eastAsia" w:ascii="仿宋_GB2312" w:hAnsi="仿宋_GB2312" w:eastAsia="仿宋_GB2312" w:cs="仿宋_GB2312"/>
          <w:color w:val="auto"/>
          <w:sz w:val="28"/>
          <w:szCs w:val="28"/>
          <w:lang w:val="en-US" w:eastAsia="zh-CN"/>
        </w:rPr>
        <w:t>14座观光车1-2种车型规格参数及彩印图片备选</w:t>
      </w:r>
      <w:r>
        <w:rPr>
          <w:rFonts w:hint="eastAsia" w:ascii="仿宋_GB2312" w:hAnsi="仿宋_GB2312" w:eastAsia="仿宋_GB2312" w:cs="仿宋_GB2312"/>
          <w:color w:val="auto"/>
          <w:sz w:val="28"/>
          <w:szCs w:val="28"/>
          <w:lang w:eastAsia="zh-CN"/>
        </w:rPr>
        <w:t>）</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default"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7.运营方案；（综合评分表第3项内容）</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8</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rPr>
        <w:t>业绩</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rPr>
        <w:t>（附合同复印件，原件备查）</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default"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9.响应保证金</w:t>
      </w:r>
      <w:r>
        <w:rPr>
          <w:rFonts w:hint="eastAsia" w:ascii="仿宋_GB2312" w:hAnsi="仿宋_GB2312" w:eastAsia="仿宋_GB2312" w:cs="仿宋_GB2312"/>
          <w:color w:val="auto"/>
          <w:sz w:val="28"/>
          <w:szCs w:val="28"/>
          <w:lang w:eastAsia="zh-CN"/>
        </w:rPr>
        <w:t>银行缴款单；（盖响应人鲜章）</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10</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rPr>
        <w:t>评分明细要求的其他材料。</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eastAsia="zh-CN"/>
        </w:rPr>
        <w:t>响应</w:t>
      </w:r>
      <w:r>
        <w:rPr>
          <w:rFonts w:hint="eastAsia" w:ascii="仿宋_GB2312" w:hAnsi="仿宋_GB2312" w:eastAsia="仿宋_GB2312" w:cs="仿宋_GB2312"/>
          <w:color w:val="auto"/>
          <w:sz w:val="28"/>
          <w:szCs w:val="28"/>
        </w:rPr>
        <w:t>人应将</w:t>
      </w:r>
      <w:r>
        <w:rPr>
          <w:rFonts w:hint="eastAsia" w:ascii="仿宋_GB2312" w:hAnsi="仿宋_GB2312" w:eastAsia="仿宋_GB2312" w:cs="仿宋_GB2312"/>
          <w:color w:val="auto"/>
          <w:sz w:val="28"/>
          <w:szCs w:val="28"/>
          <w:lang w:eastAsia="zh-CN"/>
        </w:rPr>
        <w:t>响应</w:t>
      </w:r>
      <w:r>
        <w:rPr>
          <w:rFonts w:hint="eastAsia" w:ascii="仿宋_GB2312" w:hAnsi="仿宋_GB2312" w:eastAsia="仿宋_GB2312" w:cs="仿宋_GB2312"/>
          <w:color w:val="auto"/>
          <w:sz w:val="28"/>
          <w:szCs w:val="28"/>
        </w:rPr>
        <w:t>文件正副本用信封密封，一正两副，并标明</w:t>
      </w:r>
      <w:r>
        <w:rPr>
          <w:rFonts w:hint="eastAsia" w:ascii="仿宋_GB2312" w:hAnsi="仿宋_GB2312" w:eastAsia="仿宋_GB2312" w:cs="仿宋_GB2312"/>
          <w:color w:val="auto"/>
          <w:sz w:val="28"/>
          <w:szCs w:val="28"/>
          <w:lang w:eastAsia="zh-CN"/>
        </w:rPr>
        <w:t>响应</w:t>
      </w:r>
      <w:r>
        <w:rPr>
          <w:rFonts w:hint="eastAsia" w:ascii="仿宋_GB2312" w:hAnsi="仿宋_GB2312" w:eastAsia="仿宋_GB2312" w:cs="仿宋_GB2312"/>
          <w:color w:val="auto"/>
          <w:sz w:val="28"/>
          <w:szCs w:val="28"/>
        </w:rPr>
        <w:t>服务项目、</w:t>
      </w:r>
      <w:r>
        <w:rPr>
          <w:rFonts w:hint="eastAsia" w:ascii="仿宋_GB2312" w:hAnsi="仿宋_GB2312" w:eastAsia="仿宋_GB2312" w:cs="仿宋_GB2312"/>
          <w:color w:val="auto"/>
          <w:sz w:val="28"/>
          <w:szCs w:val="28"/>
          <w:lang w:eastAsia="zh-CN"/>
        </w:rPr>
        <w:t>响应</w:t>
      </w:r>
      <w:r>
        <w:rPr>
          <w:rFonts w:hint="eastAsia" w:ascii="仿宋_GB2312" w:hAnsi="仿宋_GB2312" w:eastAsia="仿宋_GB2312" w:cs="仿宋_GB2312"/>
          <w:color w:val="auto"/>
          <w:sz w:val="28"/>
          <w:szCs w:val="28"/>
        </w:rPr>
        <w:t>人名称及“正本”、“副本”字样，逐页编码</w:t>
      </w:r>
      <w:r>
        <w:rPr>
          <w:rFonts w:hint="eastAsia" w:ascii="仿宋_GB2312" w:hAnsi="仿宋_GB2312" w:eastAsia="仿宋_GB2312" w:cs="仿宋_GB2312"/>
          <w:color w:val="auto"/>
          <w:sz w:val="28"/>
          <w:szCs w:val="28"/>
          <w:lang w:eastAsia="zh-CN"/>
        </w:rPr>
        <w:t>，胶封装订</w:t>
      </w:r>
      <w:r>
        <w:rPr>
          <w:rFonts w:hint="eastAsia" w:ascii="仿宋_GB2312" w:hAnsi="仿宋_GB2312" w:eastAsia="仿宋_GB2312" w:cs="仿宋_GB2312"/>
          <w:color w:val="auto"/>
          <w:sz w:val="28"/>
          <w:szCs w:val="28"/>
        </w:rPr>
        <w:t>。</w:t>
      </w:r>
      <w:r>
        <w:rPr>
          <w:rFonts w:hint="eastAsia" w:ascii="仿宋_GB2312" w:hAnsi="仿宋_GB2312" w:eastAsia="仿宋_GB2312" w:cs="仿宋_GB2312"/>
          <w:color w:val="auto"/>
          <w:sz w:val="28"/>
          <w:szCs w:val="28"/>
          <w:lang w:eastAsia="zh-CN"/>
        </w:rPr>
        <w:t>响应</w:t>
      </w:r>
      <w:r>
        <w:rPr>
          <w:rFonts w:hint="eastAsia" w:ascii="仿宋_GB2312" w:hAnsi="仿宋_GB2312" w:eastAsia="仿宋_GB2312" w:cs="仿宋_GB2312"/>
          <w:color w:val="auto"/>
          <w:sz w:val="28"/>
          <w:szCs w:val="28"/>
        </w:rPr>
        <w:t>文件未密封将导致</w:t>
      </w:r>
      <w:r>
        <w:rPr>
          <w:rFonts w:hint="eastAsia" w:ascii="仿宋_GB2312" w:hAnsi="仿宋_GB2312" w:eastAsia="仿宋_GB2312" w:cs="仿宋_GB2312"/>
          <w:color w:val="auto"/>
          <w:sz w:val="28"/>
          <w:szCs w:val="28"/>
          <w:lang w:eastAsia="zh-CN"/>
        </w:rPr>
        <w:t>响应</w:t>
      </w:r>
      <w:r>
        <w:rPr>
          <w:rFonts w:hint="eastAsia" w:ascii="仿宋_GB2312" w:hAnsi="仿宋_GB2312" w:eastAsia="仿宋_GB2312" w:cs="仿宋_GB2312"/>
          <w:color w:val="auto"/>
          <w:sz w:val="28"/>
          <w:szCs w:val="28"/>
        </w:rPr>
        <w:t xml:space="preserve">被拒绝。 </w:t>
      </w:r>
    </w:p>
    <w:p>
      <w:pPr>
        <w:keepNext w:val="0"/>
        <w:keepLines w:val="0"/>
        <w:pageBreakBefore w:val="0"/>
        <w:widowControl w:val="0"/>
        <w:kinsoku/>
        <w:wordWrap/>
        <w:overflowPunct/>
        <w:topLinePunct w:val="0"/>
        <w:autoSpaceDE/>
        <w:autoSpaceDN/>
        <w:bidi w:val="0"/>
        <w:adjustRightInd/>
        <w:snapToGrid/>
        <w:spacing w:line="540" w:lineRule="exact"/>
        <w:ind w:firstLine="562" w:firstLineChars="200"/>
        <w:textAlignment w:val="auto"/>
        <w:rPr>
          <w:rFonts w:hint="eastAsia"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rPr>
        <w:t>九、评标办法</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auto"/>
          <w:sz w:val="28"/>
          <w:szCs w:val="28"/>
          <w:lang w:eastAsia="zh-CN"/>
        </w:rPr>
        <w:t>以</w:t>
      </w:r>
      <w:r>
        <w:rPr>
          <w:rFonts w:hint="eastAsia" w:ascii="仿宋_GB2312" w:hAnsi="仿宋_GB2312" w:eastAsia="仿宋_GB2312" w:cs="仿宋_GB2312"/>
          <w:color w:val="auto"/>
          <w:sz w:val="28"/>
          <w:szCs w:val="28"/>
        </w:rPr>
        <w:t>综合评分法确定中标单位，满分为100分，以综合打分总分最高者中标,总分相同的报价分高的优先。</w:t>
      </w:r>
      <w:r>
        <w:rPr>
          <w:rFonts w:hint="eastAsia" w:ascii="仿宋_GB2312" w:hAnsi="仿宋_GB2312" w:eastAsia="仿宋_GB2312" w:cs="仿宋_GB2312"/>
          <w:color w:val="auto"/>
          <w:sz w:val="28"/>
          <w:szCs w:val="28"/>
          <w:lang w:eastAsia="zh-CN"/>
        </w:rPr>
        <w:t>竞争性磋商现场进行第二次报价，第二轮报价为最终报价。</w:t>
      </w:r>
      <w:r>
        <w:rPr>
          <w:rFonts w:hint="eastAsia" w:ascii="仿宋_GB2312" w:hAnsi="仿宋_GB2312" w:eastAsia="仿宋_GB2312" w:cs="仿宋_GB2312"/>
          <w:color w:val="000000" w:themeColor="text1"/>
          <w:sz w:val="28"/>
          <w:szCs w:val="28"/>
          <w14:textFill>
            <w14:solidFill>
              <w14:schemeClr w14:val="tx1"/>
            </w14:solidFill>
          </w14:textFill>
        </w:rPr>
        <w:t>开标邀请</w:t>
      </w:r>
      <w:r>
        <w:rPr>
          <w:rFonts w:hint="eastAsia" w:ascii="仿宋_GB2312" w:hAnsi="仿宋_GB2312" w:eastAsia="仿宋_GB2312" w:cs="仿宋_GB2312"/>
          <w:color w:val="000000" w:themeColor="text1"/>
          <w:sz w:val="28"/>
          <w:szCs w:val="28"/>
          <w:lang w:eastAsia="zh-CN"/>
          <w14:textFill>
            <w14:solidFill>
              <w14:schemeClr w14:val="tx1"/>
            </w14:solidFill>
          </w14:textFill>
        </w:rPr>
        <w:t>响应</w:t>
      </w:r>
      <w:r>
        <w:rPr>
          <w:rFonts w:hint="eastAsia" w:ascii="仿宋_GB2312" w:hAnsi="仿宋_GB2312" w:eastAsia="仿宋_GB2312" w:cs="仿宋_GB2312"/>
          <w:color w:val="000000" w:themeColor="text1"/>
          <w:sz w:val="28"/>
          <w:szCs w:val="28"/>
          <w14:textFill>
            <w14:solidFill>
              <w14:schemeClr w14:val="tx1"/>
            </w14:solidFill>
          </w14:textFill>
        </w:rPr>
        <w:t>单位</w:t>
      </w:r>
      <w:r>
        <w:rPr>
          <w:rFonts w:hint="eastAsia" w:ascii="仿宋_GB2312" w:hAnsi="仿宋_GB2312" w:eastAsia="仿宋_GB2312" w:cs="仿宋_GB2312"/>
          <w:color w:val="000000" w:themeColor="text1"/>
          <w:sz w:val="28"/>
          <w:szCs w:val="28"/>
          <w:lang w:eastAsia="zh-CN"/>
          <w14:textFill>
            <w14:solidFill>
              <w14:schemeClr w14:val="tx1"/>
            </w14:solidFill>
          </w14:textFill>
        </w:rPr>
        <w:t>到场</w:t>
      </w:r>
      <w:r>
        <w:rPr>
          <w:rFonts w:hint="eastAsia" w:ascii="仿宋_GB2312" w:hAnsi="仿宋_GB2312" w:eastAsia="仿宋_GB2312" w:cs="仿宋_GB2312"/>
          <w:color w:val="000000" w:themeColor="text1"/>
          <w:sz w:val="28"/>
          <w:szCs w:val="28"/>
          <w14:textFill>
            <w14:solidFill>
              <w14:schemeClr w14:val="tx1"/>
            </w14:solidFill>
          </w14:textFill>
        </w:rPr>
        <w:t>参加。具体评分办法如下：</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综合评分表</w:t>
      </w:r>
    </w:p>
    <w:tbl>
      <w:tblPr>
        <w:tblStyle w:val="8"/>
        <w:tblW w:w="8755"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59"/>
        <w:gridCol w:w="2449"/>
        <w:gridCol w:w="953"/>
        <w:gridCol w:w="439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6" w:hRule="atLeast"/>
          <w:jc w:val="center"/>
        </w:trPr>
        <w:tc>
          <w:tcPr>
            <w:tcW w:w="959" w:type="dxa"/>
            <w:vAlign w:val="center"/>
          </w:tcPr>
          <w:p>
            <w:pPr>
              <w:pStyle w:val="7"/>
              <w:widowControl/>
              <w:spacing w:before="150" w:after="150" w:line="500" w:lineRule="exact"/>
              <w:jc w:val="center"/>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序号</w:t>
            </w:r>
          </w:p>
        </w:tc>
        <w:tc>
          <w:tcPr>
            <w:tcW w:w="2449" w:type="dxa"/>
            <w:vAlign w:val="center"/>
          </w:tcPr>
          <w:p>
            <w:pPr>
              <w:pStyle w:val="7"/>
              <w:widowControl/>
              <w:spacing w:before="150" w:after="150" w:line="500" w:lineRule="exact"/>
              <w:jc w:val="center"/>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评分因素及权重</w:t>
            </w:r>
          </w:p>
        </w:tc>
        <w:tc>
          <w:tcPr>
            <w:tcW w:w="953" w:type="dxa"/>
            <w:vAlign w:val="center"/>
          </w:tcPr>
          <w:p>
            <w:pPr>
              <w:pStyle w:val="7"/>
              <w:widowControl/>
              <w:spacing w:before="150" w:after="150" w:line="500" w:lineRule="exact"/>
              <w:jc w:val="center"/>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分值</w:t>
            </w:r>
          </w:p>
        </w:tc>
        <w:tc>
          <w:tcPr>
            <w:tcW w:w="4394" w:type="dxa"/>
            <w:vAlign w:val="center"/>
          </w:tcPr>
          <w:p>
            <w:pPr>
              <w:pStyle w:val="7"/>
              <w:widowControl/>
              <w:spacing w:before="150" w:after="150" w:line="500" w:lineRule="exact"/>
              <w:jc w:val="center"/>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评分标准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59" w:type="dxa"/>
            <w:vAlign w:val="center"/>
          </w:tcPr>
          <w:p>
            <w:pPr>
              <w:pStyle w:val="7"/>
              <w:widowControl/>
              <w:spacing w:before="150" w:after="150" w:line="24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w:t>
            </w:r>
          </w:p>
        </w:tc>
        <w:tc>
          <w:tcPr>
            <w:tcW w:w="2449" w:type="dxa"/>
            <w:vAlign w:val="center"/>
          </w:tcPr>
          <w:p>
            <w:pPr>
              <w:pStyle w:val="7"/>
              <w:widowControl/>
              <w:spacing w:before="150" w:after="150" w:line="240" w:lineRule="auto"/>
              <w:jc w:val="center"/>
              <w:rPr>
                <w:rFonts w:hint="eastAsia" w:asciiTheme="minorEastAsia" w:hAnsiTheme="minorEastAsia" w:eastAsiaTheme="minorEastAsia" w:cstheme="minorEastAsia"/>
                <w:b w:val="0"/>
                <w:bCs w:val="0"/>
                <w:color w:val="auto"/>
                <w:sz w:val="21"/>
                <w:szCs w:val="21"/>
              </w:rPr>
            </w:pPr>
            <w:r>
              <w:rPr>
                <w:rFonts w:hint="eastAsia" w:asciiTheme="minorEastAsia" w:hAnsiTheme="minorEastAsia" w:eastAsiaTheme="minorEastAsia" w:cstheme="minorEastAsia"/>
                <w:b w:val="0"/>
                <w:bCs w:val="0"/>
                <w:color w:val="auto"/>
                <w:sz w:val="21"/>
                <w:szCs w:val="21"/>
              </w:rPr>
              <w:t>价格</w:t>
            </w:r>
          </w:p>
        </w:tc>
        <w:tc>
          <w:tcPr>
            <w:tcW w:w="953" w:type="dxa"/>
            <w:vAlign w:val="center"/>
          </w:tcPr>
          <w:p>
            <w:pPr>
              <w:pStyle w:val="7"/>
              <w:widowControl/>
              <w:spacing w:before="150" w:after="150" w:line="240" w:lineRule="auto"/>
              <w:jc w:val="center"/>
              <w:rPr>
                <w:rFonts w:hint="eastAsia" w:asciiTheme="minorEastAsia" w:hAnsiTheme="minorEastAsia" w:eastAsiaTheme="minorEastAsia" w:cstheme="minorEastAsia"/>
                <w:b w:val="0"/>
                <w:bCs w:val="0"/>
                <w:color w:val="auto"/>
                <w:sz w:val="21"/>
                <w:szCs w:val="21"/>
              </w:rPr>
            </w:pPr>
            <w:r>
              <w:rPr>
                <w:rFonts w:hint="eastAsia" w:asciiTheme="minorEastAsia" w:hAnsiTheme="minorEastAsia" w:eastAsiaTheme="minorEastAsia" w:cstheme="minorEastAsia"/>
                <w:b w:val="0"/>
                <w:bCs w:val="0"/>
                <w:color w:val="auto"/>
                <w:sz w:val="21"/>
                <w:szCs w:val="21"/>
                <w:lang w:val="en-US" w:eastAsia="zh-CN"/>
              </w:rPr>
              <w:t>3</w:t>
            </w:r>
            <w:r>
              <w:rPr>
                <w:rFonts w:hint="eastAsia" w:asciiTheme="minorEastAsia" w:hAnsiTheme="minorEastAsia" w:eastAsiaTheme="minorEastAsia" w:cstheme="minorEastAsia"/>
                <w:b w:val="0"/>
                <w:bCs w:val="0"/>
                <w:color w:val="auto"/>
                <w:sz w:val="21"/>
                <w:szCs w:val="21"/>
              </w:rPr>
              <w:t>0分</w:t>
            </w:r>
          </w:p>
        </w:tc>
        <w:tc>
          <w:tcPr>
            <w:tcW w:w="4394" w:type="dxa"/>
            <w:vAlign w:val="center"/>
          </w:tcPr>
          <w:p>
            <w:pPr>
              <w:pStyle w:val="7"/>
              <w:widowControl/>
              <w:spacing w:before="150" w:after="150" w:line="240" w:lineRule="auto"/>
              <w:jc w:val="left"/>
              <w:rPr>
                <w:rFonts w:hint="eastAsia" w:asciiTheme="minorEastAsia" w:hAnsiTheme="minorEastAsia" w:eastAsiaTheme="minorEastAsia" w:cstheme="minorEastAsia"/>
                <w:b w:val="0"/>
                <w:bCs w:val="0"/>
                <w:color w:val="auto"/>
                <w:sz w:val="21"/>
                <w:szCs w:val="21"/>
              </w:rPr>
            </w:pPr>
            <w:r>
              <w:rPr>
                <w:rFonts w:hint="eastAsia" w:asciiTheme="minorEastAsia" w:hAnsiTheme="minorEastAsia" w:eastAsiaTheme="minorEastAsia" w:cstheme="minorEastAsia"/>
                <w:b w:val="0"/>
                <w:bCs w:val="0"/>
                <w:color w:val="auto"/>
                <w:sz w:val="21"/>
                <w:szCs w:val="21"/>
              </w:rPr>
              <w:t>即满足</w:t>
            </w:r>
            <w:r>
              <w:rPr>
                <w:rFonts w:hint="eastAsia" w:asciiTheme="minorEastAsia" w:hAnsiTheme="minorEastAsia" w:eastAsiaTheme="minorEastAsia" w:cstheme="minorEastAsia"/>
                <w:b w:val="0"/>
                <w:bCs w:val="0"/>
                <w:color w:val="auto"/>
                <w:sz w:val="21"/>
                <w:szCs w:val="21"/>
                <w:lang w:eastAsia="zh-CN"/>
              </w:rPr>
              <w:t>响应</w:t>
            </w:r>
            <w:r>
              <w:rPr>
                <w:rFonts w:hint="eastAsia" w:asciiTheme="minorEastAsia" w:hAnsiTheme="minorEastAsia" w:eastAsiaTheme="minorEastAsia" w:cstheme="minorEastAsia"/>
                <w:b w:val="0"/>
                <w:bCs w:val="0"/>
                <w:color w:val="auto"/>
                <w:sz w:val="21"/>
                <w:szCs w:val="21"/>
              </w:rPr>
              <w:t>文件要求且</w:t>
            </w:r>
            <w:r>
              <w:rPr>
                <w:rFonts w:hint="eastAsia" w:asciiTheme="minorEastAsia" w:hAnsiTheme="minorEastAsia" w:eastAsiaTheme="minorEastAsia" w:cstheme="minorEastAsia"/>
                <w:b w:val="0"/>
                <w:bCs w:val="0"/>
                <w:color w:val="auto"/>
                <w:sz w:val="21"/>
                <w:szCs w:val="21"/>
                <w:lang w:eastAsia="zh-CN"/>
              </w:rPr>
              <w:t>响应</w:t>
            </w:r>
            <w:r>
              <w:rPr>
                <w:rFonts w:hint="eastAsia" w:asciiTheme="minorEastAsia" w:hAnsiTheme="minorEastAsia" w:eastAsiaTheme="minorEastAsia" w:cstheme="minorEastAsia"/>
                <w:b w:val="0"/>
                <w:bCs w:val="0"/>
                <w:color w:val="auto"/>
                <w:sz w:val="21"/>
                <w:szCs w:val="21"/>
              </w:rPr>
              <w:t>价格最高的</w:t>
            </w:r>
            <w:r>
              <w:rPr>
                <w:rFonts w:hint="eastAsia" w:asciiTheme="minorEastAsia" w:hAnsiTheme="minorEastAsia" w:eastAsiaTheme="minorEastAsia" w:cstheme="minorEastAsia"/>
                <w:b w:val="0"/>
                <w:bCs w:val="0"/>
                <w:color w:val="auto"/>
                <w:sz w:val="21"/>
                <w:szCs w:val="21"/>
                <w:lang w:eastAsia="zh-CN"/>
              </w:rPr>
              <w:t>响应</w:t>
            </w:r>
            <w:r>
              <w:rPr>
                <w:rFonts w:hint="eastAsia" w:asciiTheme="minorEastAsia" w:hAnsiTheme="minorEastAsia" w:eastAsiaTheme="minorEastAsia" w:cstheme="minorEastAsia"/>
                <w:b w:val="0"/>
                <w:bCs w:val="0"/>
                <w:color w:val="auto"/>
                <w:sz w:val="21"/>
                <w:szCs w:val="21"/>
              </w:rPr>
              <w:t>报价为评标基准价，其价格分为满分</w:t>
            </w:r>
            <w:r>
              <w:rPr>
                <w:rFonts w:hint="eastAsia" w:asciiTheme="minorEastAsia" w:hAnsiTheme="minorEastAsia" w:eastAsiaTheme="minorEastAsia" w:cstheme="minorEastAsia"/>
                <w:b w:val="0"/>
                <w:bCs w:val="0"/>
                <w:color w:val="auto"/>
                <w:sz w:val="21"/>
                <w:szCs w:val="21"/>
                <w:lang w:val="en-US" w:eastAsia="zh-CN"/>
              </w:rPr>
              <w:t>3</w:t>
            </w:r>
            <w:r>
              <w:rPr>
                <w:rFonts w:hint="eastAsia" w:asciiTheme="minorEastAsia" w:hAnsiTheme="minorEastAsia" w:eastAsiaTheme="minorEastAsia" w:cstheme="minorEastAsia"/>
                <w:b w:val="0"/>
                <w:bCs w:val="0"/>
                <w:color w:val="auto"/>
                <w:sz w:val="21"/>
                <w:szCs w:val="21"/>
              </w:rPr>
              <w:t>0分。其他</w:t>
            </w:r>
            <w:r>
              <w:rPr>
                <w:rFonts w:hint="eastAsia" w:asciiTheme="minorEastAsia" w:hAnsiTheme="minorEastAsia" w:eastAsiaTheme="minorEastAsia" w:cstheme="minorEastAsia"/>
                <w:b w:val="0"/>
                <w:bCs w:val="0"/>
                <w:color w:val="auto"/>
                <w:sz w:val="21"/>
                <w:szCs w:val="21"/>
                <w:lang w:eastAsia="zh-CN"/>
              </w:rPr>
              <w:t>响应</w:t>
            </w:r>
            <w:r>
              <w:rPr>
                <w:rFonts w:hint="eastAsia" w:asciiTheme="minorEastAsia" w:hAnsiTheme="minorEastAsia" w:eastAsiaTheme="minorEastAsia" w:cstheme="minorEastAsia"/>
                <w:b w:val="0"/>
                <w:bCs w:val="0"/>
                <w:color w:val="auto"/>
                <w:sz w:val="21"/>
                <w:szCs w:val="21"/>
              </w:rPr>
              <w:t>人的价格分统一按照下列公式计算：</w:t>
            </w:r>
            <w:r>
              <w:rPr>
                <w:rFonts w:hint="eastAsia" w:asciiTheme="minorEastAsia" w:hAnsiTheme="minorEastAsia" w:eastAsiaTheme="minorEastAsia" w:cstheme="minorEastAsia"/>
                <w:b w:val="0"/>
                <w:bCs w:val="0"/>
                <w:color w:val="auto"/>
                <w:sz w:val="21"/>
                <w:szCs w:val="21"/>
                <w:lang w:eastAsia="zh-CN"/>
              </w:rPr>
              <w:t>响应</w:t>
            </w:r>
            <w:r>
              <w:rPr>
                <w:rFonts w:hint="eastAsia" w:asciiTheme="minorEastAsia" w:hAnsiTheme="minorEastAsia" w:eastAsiaTheme="minorEastAsia" w:cstheme="minorEastAsia"/>
                <w:b w:val="0"/>
                <w:bCs w:val="0"/>
                <w:color w:val="auto"/>
                <w:sz w:val="21"/>
                <w:szCs w:val="21"/>
              </w:rPr>
              <w:t>报价得分=(</w:t>
            </w:r>
            <w:r>
              <w:rPr>
                <w:rFonts w:hint="eastAsia" w:asciiTheme="minorEastAsia" w:hAnsiTheme="minorEastAsia" w:eastAsiaTheme="minorEastAsia" w:cstheme="minorEastAsia"/>
                <w:b w:val="0"/>
                <w:bCs w:val="0"/>
                <w:color w:val="auto"/>
                <w:sz w:val="21"/>
                <w:szCs w:val="21"/>
                <w:lang w:eastAsia="zh-CN"/>
              </w:rPr>
              <w:t>响应</w:t>
            </w:r>
            <w:r>
              <w:rPr>
                <w:rFonts w:hint="eastAsia" w:asciiTheme="minorEastAsia" w:hAnsiTheme="minorEastAsia" w:eastAsiaTheme="minorEastAsia" w:cstheme="minorEastAsia"/>
                <w:b w:val="0"/>
                <w:bCs w:val="0"/>
                <w:color w:val="auto"/>
                <w:sz w:val="21"/>
                <w:szCs w:val="21"/>
              </w:rPr>
              <w:t>报价／评标基准价)×</w:t>
            </w:r>
            <w:r>
              <w:rPr>
                <w:rFonts w:hint="eastAsia" w:asciiTheme="minorEastAsia" w:hAnsiTheme="minorEastAsia" w:eastAsiaTheme="minorEastAsia" w:cstheme="minorEastAsia"/>
                <w:b w:val="0"/>
                <w:bCs w:val="0"/>
                <w:color w:val="auto"/>
                <w:sz w:val="21"/>
                <w:szCs w:val="21"/>
                <w:lang w:val="en-US" w:eastAsia="zh-CN"/>
              </w:rPr>
              <w:t>3</w:t>
            </w:r>
            <w:r>
              <w:rPr>
                <w:rFonts w:hint="eastAsia" w:asciiTheme="minorEastAsia" w:hAnsiTheme="minorEastAsia" w:eastAsiaTheme="minorEastAsia" w:cstheme="minorEastAsia"/>
                <w:b w:val="0"/>
                <w:bCs w:val="0"/>
                <w:color w:val="auto"/>
                <w:sz w:val="21"/>
                <w:szCs w:val="21"/>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92" w:hRule="atLeast"/>
          <w:jc w:val="center"/>
        </w:trPr>
        <w:tc>
          <w:tcPr>
            <w:tcW w:w="959" w:type="dxa"/>
            <w:vAlign w:val="center"/>
          </w:tcPr>
          <w:p>
            <w:pPr>
              <w:pStyle w:val="7"/>
              <w:widowControl/>
              <w:spacing w:before="150" w:after="150" w:line="24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w:t>
            </w:r>
          </w:p>
        </w:tc>
        <w:tc>
          <w:tcPr>
            <w:tcW w:w="2449" w:type="dxa"/>
            <w:vAlign w:val="center"/>
          </w:tcPr>
          <w:p>
            <w:pPr>
              <w:pStyle w:val="7"/>
              <w:widowControl/>
              <w:spacing w:before="150" w:after="150" w:line="24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企业经营范围情况</w:t>
            </w:r>
          </w:p>
        </w:tc>
        <w:tc>
          <w:tcPr>
            <w:tcW w:w="953" w:type="dxa"/>
            <w:vAlign w:val="center"/>
          </w:tcPr>
          <w:p>
            <w:pPr>
              <w:pStyle w:val="7"/>
              <w:widowControl/>
              <w:spacing w:before="150" w:after="150" w:line="24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10</w:t>
            </w:r>
          </w:p>
        </w:tc>
        <w:tc>
          <w:tcPr>
            <w:tcW w:w="4394" w:type="dxa"/>
            <w:vAlign w:val="center"/>
          </w:tcPr>
          <w:p>
            <w:pPr>
              <w:pStyle w:val="7"/>
              <w:widowControl/>
              <w:spacing w:before="150" w:after="150" w:line="240" w:lineRule="auto"/>
              <w:jc w:val="left"/>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电动车制作商加</w:t>
            </w:r>
            <w:r>
              <w:rPr>
                <w:rFonts w:hint="eastAsia" w:asciiTheme="minorEastAsia" w:hAnsiTheme="minorEastAsia" w:eastAsiaTheme="minorEastAsia" w:cstheme="minorEastAsia"/>
                <w:color w:val="auto"/>
                <w:sz w:val="21"/>
                <w:szCs w:val="21"/>
              </w:rPr>
              <w:t>5分；有电动车销售售后加5分。可重复得分。</w:t>
            </w:r>
            <w:r>
              <w:rPr>
                <w:rFonts w:hint="eastAsia" w:asciiTheme="minorEastAsia" w:hAnsiTheme="minorEastAsia" w:eastAsiaTheme="minorEastAsia" w:cstheme="minorEastAsia"/>
                <w:color w:val="auto"/>
                <w:sz w:val="21"/>
                <w:szCs w:val="21"/>
                <w:lang w:eastAsia="zh-CN"/>
              </w:rPr>
              <w:t>无不得分。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59" w:type="dxa"/>
            <w:vAlign w:val="center"/>
          </w:tcPr>
          <w:p>
            <w:pPr>
              <w:pStyle w:val="7"/>
              <w:widowControl/>
              <w:spacing w:before="150" w:after="150" w:line="24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3</w:t>
            </w:r>
          </w:p>
        </w:tc>
        <w:tc>
          <w:tcPr>
            <w:tcW w:w="2449" w:type="dxa"/>
            <w:vAlign w:val="center"/>
          </w:tcPr>
          <w:p>
            <w:pPr>
              <w:pStyle w:val="7"/>
              <w:widowControl/>
              <w:spacing w:before="150" w:after="150" w:line="240" w:lineRule="auto"/>
              <w:ind w:firstLine="630" w:firstLineChars="300"/>
              <w:jc w:val="left"/>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运营方案</w:t>
            </w:r>
          </w:p>
        </w:tc>
        <w:tc>
          <w:tcPr>
            <w:tcW w:w="953" w:type="dxa"/>
            <w:vAlign w:val="center"/>
          </w:tcPr>
          <w:p>
            <w:pPr>
              <w:pStyle w:val="7"/>
              <w:widowControl/>
              <w:spacing w:before="150" w:after="150" w:line="24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30</w:t>
            </w:r>
          </w:p>
        </w:tc>
        <w:tc>
          <w:tcPr>
            <w:tcW w:w="4394" w:type="dxa"/>
            <w:vAlign w:val="center"/>
          </w:tcPr>
          <w:p>
            <w:pPr>
              <w:pStyle w:val="7"/>
              <w:widowControl/>
              <w:spacing w:before="150" w:after="150" w:line="240" w:lineRule="auto"/>
              <w:jc w:val="left"/>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color w:val="auto"/>
                <w:sz w:val="21"/>
                <w:szCs w:val="21"/>
              </w:rPr>
              <w:t>根据</w:t>
            </w:r>
            <w:r>
              <w:rPr>
                <w:rFonts w:hint="eastAsia" w:asciiTheme="minorEastAsia" w:hAnsiTheme="minorEastAsia" w:eastAsiaTheme="minorEastAsia" w:cstheme="minorEastAsia"/>
                <w:color w:val="auto"/>
                <w:sz w:val="21"/>
                <w:szCs w:val="21"/>
                <w:lang w:eastAsia="zh-CN"/>
              </w:rPr>
              <w:t>响应</w:t>
            </w:r>
            <w:r>
              <w:rPr>
                <w:rFonts w:hint="eastAsia" w:asciiTheme="minorEastAsia" w:hAnsiTheme="minorEastAsia" w:eastAsiaTheme="minorEastAsia" w:cstheme="minorEastAsia"/>
                <w:color w:val="auto"/>
                <w:sz w:val="21"/>
                <w:szCs w:val="21"/>
              </w:rPr>
              <w:t>人的实施经营方案情况进行环比评分。</w:t>
            </w:r>
            <w:r>
              <w:rPr>
                <w:rFonts w:hint="eastAsia" w:asciiTheme="minorEastAsia" w:hAnsiTheme="minorEastAsia" w:eastAsiaTheme="minorEastAsia" w:cstheme="minorEastAsia"/>
                <w:color w:val="auto"/>
                <w:sz w:val="21"/>
                <w:szCs w:val="21"/>
                <w:lang w:eastAsia="zh-CN"/>
              </w:rPr>
              <w:t>具体如下：</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Theme="minorEastAsia" w:hAnsiTheme="minorEastAsia" w:eastAsiaTheme="minorEastAsia" w:cstheme="minorEastAsia"/>
                <w:b w:val="0"/>
                <w:bCs w:val="0"/>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①</w:t>
            </w:r>
            <w:r>
              <w:rPr>
                <w:rFonts w:hint="eastAsia" w:asciiTheme="minorEastAsia" w:hAnsiTheme="minorEastAsia" w:eastAsiaTheme="minorEastAsia" w:cstheme="minorEastAsia"/>
                <w:b w:val="0"/>
                <w:bCs w:val="0"/>
                <w:color w:val="000000" w:themeColor="text1"/>
                <w:sz w:val="21"/>
                <w:szCs w:val="21"/>
                <w:lang w:val="en-US" w:eastAsia="zh-CN"/>
                <w14:textFill>
                  <w14:solidFill>
                    <w14:schemeClr w14:val="tx1"/>
                  </w14:solidFill>
                </w14:textFill>
              </w:rPr>
              <w:t>观光车运营管理总体思想（优得5，良得3，一般得2，无不得分）</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Theme="minorEastAsia" w:hAnsiTheme="minorEastAsia" w:eastAsiaTheme="minorEastAsia" w:cstheme="minorEastAsia"/>
                <w:b w:val="0"/>
                <w:bCs w:val="0"/>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②</w:t>
            </w:r>
            <w:r>
              <w:rPr>
                <w:rFonts w:hint="eastAsia" w:asciiTheme="minorEastAsia" w:hAnsiTheme="minorEastAsia" w:eastAsiaTheme="minorEastAsia" w:cstheme="minorEastAsia"/>
                <w:b w:val="0"/>
                <w:bCs w:val="0"/>
                <w:color w:val="000000" w:themeColor="text1"/>
                <w:sz w:val="21"/>
                <w:szCs w:val="21"/>
                <w:lang w:val="en-US" w:eastAsia="zh-CN"/>
                <w14:textFill>
                  <w14:solidFill>
                    <w14:schemeClr w14:val="tx1"/>
                  </w14:solidFill>
                </w14:textFill>
              </w:rPr>
              <w:t>驾驶员日常管理方案（优得4，良得3，一般得2，无不得分）</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Theme="minorEastAsia" w:hAnsiTheme="minorEastAsia" w:eastAsiaTheme="minorEastAsia" w:cstheme="minorEastAsia"/>
                <w:b w:val="0"/>
                <w:bCs w:val="0"/>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③</w:t>
            </w:r>
            <w:r>
              <w:rPr>
                <w:rFonts w:hint="eastAsia" w:asciiTheme="minorEastAsia" w:hAnsiTheme="minorEastAsia" w:eastAsiaTheme="minorEastAsia" w:cstheme="minorEastAsia"/>
                <w:b w:val="0"/>
                <w:bCs w:val="0"/>
                <w:color w:val="000000" w:themeColor="text1"/>
                <w:sz w:val="21"/>
                <w:szCs w:val="21"/>
                <w:lang w:val="en-US" w:eastAsia="zh-CN"/>
                <w14:textFill>
                  <w14:solidFill>
                    <w14:schemeClr w14:val="tx1"/>
                  </w14:solidFill>
                </w14:textFill>
              </w:rPr>
              <w:t>文明服务方案（优得4，良得3，一般得2，无不得分）</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Theme="minorEastAsia" w:hAnsiTheme="minorEastAsia" w:eastAsiaTheme="minorEastAsia" w:cstheme="minorEastAsia"/>
                <w:b w:val="0"/>
                <w:bCs w:val="0"/>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④</w:t>
            </w:r>
            <w:r>
              <w:rPr>
                <w:rFonts w:hint="eastAsia" w:asciiTheme="minorEastAsia" w:hAnsiTheme="minorEastAsia" w:eastAsiaTheme="minorEastAsia" w:cstheme="minorEastAsia"/>
                <w:b w:val="0"/>
                <w:bCs w:val="0"/>
                <w:color w:val="000000" w:themeColor="text1"/>
                <w:sz w:val="21"/>
                <w:szCs w:val="21"/>
                <w:lang w:val="en-US" w:eastAsia="zh-CN"/>
                <w14:textFill>
                  <w14:solidFill>
                    <w14:schemeClr w14:val="tx1"/>
                  </w14:solidFill>
                </w14:textFill>
              </w:rPr>
              <w:t>经营行为规范（优得4，良得3，一般得2，无不得分）</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Theme="minorEastAsia" w:hAnsiTheme="minorEastAsia" w:eastAsiaTheme="minorEastAsia" w:cstheme="minorEastAsia"/>
                <w:b w:val="0"/>
                <w:bCs w:val="0"/>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⑤</w:t>
            </w:r>
            <w:r>
              <w:rPr>
                <w:rFonts w:hint="eastAsia" w:asciiTheme="minorEastAsia" w:hAnsiTheme="minorEastAsia" w:eastAsiaTheme="minorEastAsia" w:cstheme="minorEastAsia"/>
                <w:b w:val="0"/>
                <w:bCs w:val="0"/>
                <w:color w:val="000000" w:themeColor="text1"/>
                <w:sz w:val="21"/>
                <w:szCs w:val="21"/>
                <w:lang w:val="en-US" w:eastAsia="zh-CN"/>
                <w14:textFill>
                  <w14:solidFill>
                    <w14:schemeClr w14:val="tx1"/>
                  </w14:solidFill>
                </w14:textFill>
              </w:rPr>
              <w:t>安全运营管理方案（优得4，良得3，一般得2，无不得分）</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Theme="minorEastAsia" w:hAnsiTheme="minorEastAsia" w:eastAsiaTheme="minorEastAsia" w:cstheme="minorEastAsia"/>
                <w:b w:val="0"/>
                <w:bCs w:val="0"/>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⑥</w:t>
            </w:r>
            <w:r>
              <w:rPr>
                <w:rFonts w:hint="eastAsia" w:asciiTheme="minorEastAsia" w:hAnsiTheme="minorEastAsia" w:eastAsiaTheme="minorEastAsia" w:cstheme="minorEastAsia"/>
                <w:b w:val="0"/>
                <w:bCs w:val="0"/>
                <w:color w:val="000000" w:themeColor="text1"/>
                <w:sz w:val="21"/>
                <w:szCs w:val="21"/>
                <w:lang w:val="en-US" w:eastAsia="zh-CN"/>
                <w14:textFill>
                  <w14:solidFill>
                    <w14:schemeClr w14:val="tx1"/>
                  </w14:solidFill>
                </w14:textFill>
              </w:rPr>
              <w:t>突发事件的防治及处理方案（优得4，良得3，一般得2，无不得分）</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Theme="minorEastAsia" w:hAnsiTheme="minorEastAsia" w:eastAsiaTheme="minorEastAsia" w:cstheme="minorEastAsia"/>
                <w:b w:val="0"/>
                <w:bCs w:val="0"/>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⑦</w:t>
            </w:r>
            <w:r>
              <w:rPr>
                <w:rFonts w:hint="eastAsia" w:asciiTheme="minorEastAsia" w:hAnsiTheme="minorEastAsia" w:eastAsiaTheme="minorEastAsia" w:cstheme="minorEastAsia"/>
                <w:b w:val="0"/>
                <w:bCs w:val="0"/>
                <w:color w:val="000000" w:themeColor="text1"/>
                <w:sz w:val="21"/>
                <w:szCs w:val="21"/>
                <w:lang w:val="en-US" w:eastAsia="zh-CN"/>
                <w14:textFill>
                  <w14:solidFill>
                    <w14:schemeClr w14:val="tx1"/>
                  </w14:solidFill>
                </w14:textFill>
              </w:rPr>
              <w:t>服务亮点（优得3，良得2，一般得1，无不得分）</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⑧</w:t>
            </w:r>
            <w:r>
              <w:rPr>
                <w:rFonts w:hint="eastAsia" w:asciiTheme="minorEastAsia" w:hAnsiTheme="minorEastAsia" w:eastAsiaTheme="minorEastAsia" w:cstheme="minorEastAsia"/>
                <w:b w:val="0"/>
                <w:bCs w:val="0"/>
                <w:color w:val="000000" w:themeColor="text1"/>
                <w:sz w:val="21"/>
                <w:szCs w:val="21"/>
                <w:lang w:val="en-US" w:eastAsia="zh-CN"/>
                <w14:textFill>
                  <w14:solidFill>
                    <w14:schemeClr w14:val="tx1"/>
                  </w14:solidFill>
                </w14:textFill>
              </w:rPr>
              <w:t>响应人自行补充的承诺及建议（优得2，良或一般得1，无不得分）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59" w:type="dxa"/>
            <w:vAlign w:val="center"/>
          </w:tcPr>
          <w:p>
            <w:pPr>
              <w:pStyle w:val="7"/>
              <w:widowControl/>
              <w:spacing w:before="150" w:after="150" w:line="24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4</w:t>
            </w:r>
          </w:p>
        </w:tc>
        <w:tc>
          <w:tcPr>
            <w:tcW w:w="2449" w:type="dxa"/>
            <w:vAlign w:val="center"/>
          </w:tcPr>
          <w:p>
            <w:pPr>
              <w:pStyle w:val="7"/>
              <w:widowControl/>
              <w:spacing w:before="150" w:after="150" w:line="24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业绩</w:t>
            </w:r>
          </w:p>
        </w:tc>
        <w:tc>
          <w:tcPr>
            <w:tcW w:w="953" w:type="dxa"/>
            <w:vAlign w:val="center"/>
          </w:tcPr>
          <w:p>
            <w:pPr>
              <w:pStyle w:val="7"/>
              <w:widowControl/>
              <w:spacing w:before="150" w:after="150" w:line="24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val="en-US" w:eastAsia="zh-CN"/>
              </w:rPr>
              <w:t>2</w:t>
            </w:r>
            <w:r>
              <w:rPr>
                <w:rFonts w:hint="eastAsia" w:asciiTheme="minorEastAsia" w:hAnsiTheme="minorEastAsia" w:eastAsiaTheme="minorEastAsia" w:cstheme="minorEastAsia"/>
                <w:color w:val="auto"/>
                <w:sz w:val="21"/>
                <w:szCs w:val="21"/>
              </w:rPr>
              <w:t>0</w:t>
            </w:r>
          </w:p>
        </w:tc>
        <w:tc>
          <w:tcPr>
            <w:tcW w:w="4394" w:type="dxa"/>
            <w:vAlign w:val="center"/>
          </w:tcPr>
          <w:p>
            <w:pPr>
              <w:pStyle w:val="7"/>
              <w:widowControl/>
              <w:spacing w:before="150" w:after="150" w:line="240" w:lineRule="auto"/>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根据</w:t>
            </w:r>
            <w:r>
              <w:rPr>
                <w:rFonts w:hint="eastAsia" w:asciiTheme="minorEastAsia" w:hAnsiTheme="minorEastAsia" w:eastAsiaTheme="minorEastAsia" w:cstheme="minorEastAsia"/>
                <w:color w:val="auto"/>
                <w:sz w:val="21"/>
                <w:szCs w:val="21"/>
                <w:lang w:eastAsia="zh-CN"/>
              </w:rPr>
              <w:t>响应</w:t>
            </w:r>
            <w:r>
              <w:rPr>
                <w:rFonts w:hint="eastAsia" w:asciiTheme="minorEastAsia" w:hAnsiTheme="minorEastAsia" w:eastAsiaTheme="minorEastAsia" w:cstheme="minorEastAsia"/>
                <w:color w:val="auto"/>
                <w:sz w:val="21"/>
                <w:szCs w:val="21"/>
              </w:rPr>
              <w:t>人</w:t>
            </w:r>
            <w:r>
              <w:rPr>
                <w:rFonts w:hint="eastAsia" w:asciiTheme="minorEastAsia" w:hAnsiTheme="minorEastAsia" w:eastAsiaTheme="minorEastAsia" w:cstheme="minorEastAsia"/>
                <w:color w:val="auto"/>
                <w:sz w:val="21"/>
                <w:szCs w:val="21"/>
                <w:lang w:eastAsia="zh-CN"/>
              </w:rPr>
              <w:t>同类型高校</w:t>
            </w:r>
            <w:r>
              <w:rPr>
                <w:rFonts w:hint="eastAsia" w:asciiTheme="minorEastAsia" w:hAnsiTheme="minorEastAsia" w:eastAsiaTheme="minorEastAsia" w:cstheme="minorEastAsia"/>
                <w:color w:val="auto"/>
                <w:sz w:val="21"/>
                <w:szCs w:val="21"/>
              </w:rPr>
              <w:t>电动车经营业绩打分，1项得</w:t>
            </w:r>
            <w:r>
              <w:rPr>
                <w:rFonts w:hint="eastAsia" w:asciiTheme="minorEastAsia" w:hAnsiTheme="minorEastAsia" w:eastAsiaTheme="minorEastAsia" w:cstheme="minorEastAsia"/>
                <w:color w:val="auto"/>
                <w:sz w:val="21"/>
                <w:szCs w:val="21"/>
                <w:lang w:val="en-US" w:eastAsia="zh-CN"/>
              </w:rPr>
              <w:t>2</w:t>
            </w:r>
            <w:r>
              <w:rPr>
                <w:rFonts w:hint="eastAsia" w:asciiTheme="minorEastAsia" w:hAnsiTheme="minorEastAsia" w:eastAsiaTheme="minorEastAsia" w:cstheme="minorEastAsia"/>
                <w:color w:val="auto"/>
                <w:sz w:val="21"/>
                <w:szCs w:val="21"/>
              </w:rPr>
              <w:t>分，最多得</w:t>
            </w:r>
            <w:r>
              <w:rPr>
                <w:rFonts w:hint="eastAsia" w:asciiTheme="minorEastAsia" w:hAnsiTheme="minorEastAsia" w:eastAsiaTheme="minorEastAsia" w:cstheme="minorEastAsia"/>
                <w:color w:val="auto"/>
                <w:sz w:val="21"/>
                <w:szCs w:val="21"/>
                <w:lang w:val="en-US" w:eastAsia="zh-CN"/>
              </w:rPr>
              <w:t>2</w:t>
            </w:r>
            <w:r>
              <w:rPr>
                <w:rFonts w:hint="eastAsia" w:asciiTheme="minorEastAsia" w:hAnsiTheme="minorEastAsia" w:eastAsiaTheme="minorEastAsia" w:cstheme="minorEastAsia"/>
                <w:color w:val="auto"/>
                <w:sz w:val="21"/>
                <w:szCs w:val="21"/>
              </w:rPr>
              <w:t>0分。（附合同复印件，原件</w:t>
            </w:r>
            <w:r>
              <w:rPr>
                <w:rFonts w:hint="eastAsia" w:asciiTheme="minorEastAsia" w:hAnsiTheme="minorEastAsia" w:eastAsiaTheme="minorEastAsia" w:cstheme="minorEastAsia"/>
                <w:color w:val="auto"/>
                <w:sz w:val="21"/>
                <w:szCs w:val="21"/>
                <w:lang w:eastAsia="zh-CN"/>
              </w:rPr>
              <w:t>将在竞争性磋商现场</w:t>
            </w:r>
            <w:r>
              <w:rPr>
                <w:rFonts w:hint="eastAsia" w:asciiTheme="minorEastAsia" w:hAnsiTheme="minorEastAsia" w:eastAsiaTheme="minorEastAsia" w:cstheme="minorEastAsia"/>
                <w:color w:val="auto"/>
                <w:sz w:val="21"/>
                <w:szCs w:val="21"/>
              </w:rPr>
              <w:t>备查）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59" w:type="dxa"/>
            <w:vAlign w:val="center"/>
          </w:tcPr>
          <w:p>
            <w:pPr>
              <w:pStyle w:val="7"/>
              <w:widowControl/>
              <w:spacing w:before="150" w:after="150" w:line="240" w:lineRule="auto"/>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5</w:t>
            </w:r>
          </w:p>
        </w:tc>
        <w:tc>
          <w:tcPr>
            <w:tcW w:w="2449" w:type="dxa"/>
            <w:vAlign w:val="center"/>
          </w:tcPr>
          <w:p>
            <w:pPr>
              <w:pStyle w:val="7"/>
              <w:widowControl/>
              <w:spacing w:before="150" w:after="150" w:line="240" w:lineRule="auto"/>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其他</w:t>
            </w:r>
          </w:p>
        </w:tc>
        <w:tc>
          <w:tcPr>
            <w:tcW w:w="953" w:type="dxa"/>
            <w:vAlign w:val="center"/>
          </w:tcPr>
          <w:p>
            <w:pPr>
              <w:pStyle w:val="7"/>
              <w:widowControl/>
              <w:spacing w:before="150" w:after="150" w:line="240" w:lineRule="auto"/>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10</w:t>
            </w:r>
          </w:p>
        </w:tc>
        <w:tc>
          <w:tcPr>
            <w:tcW w:w="4394" w:type="dxa"/>
            <w:vAlign w:val="center"/>
          </w:tcPr>
          <w:p>
            <w:pPr>
              <w:pStyle w:val="7"/>
              <w:widowControl/>
              <w:spacing w:before="150" w:after="150" w:line="240" w:lineRule="auto"/>
              <w:jc w:val="left"/>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有省级以上运营服务承办经验的加10分。（附相关合同复印件及运营服务相关图片，合同原件</w:t>
            </w:r>
            <w:r>
              <w:rPr>
                <w:rFonts w:hint="eastAsia" w:asciiTheme="minorEastAsia" w:hAnsiTheme="minorEastAsia" w:eastAsiaTheme="minorEastAsia" w:cstheme="minorEastAsia"/>
                <w:color w:val="auto"/>
                <w:sz w:val="21"/>
                <w:szCs w:val="21"/>
                <w:lang w:eastAsia="zh-CN"/>
              </w:rPr>
              <w:t>将在竞争性磋商现场</w:t>
            </w:r>
            <w:r>
              <w:rPr>
                <w:rFonts w:hint="eastAsia" w:asciiTheme="minorEastAsia" w:hAnsiTheme="minorEastAsia" w:eastAsiaTheme="minorEastAsia" w:cstheme="minorEastAsia"/>
                <w:color w:val="auto"/>
                <w:sz w:val="21"/>
                <w:szCs w:val="21"/>
                <w:lang w:val="en-US" w:eastAsia="zh-CN"/>
              </w:rPr>
              <w:t>备查）</w:t>
            </w:r>
          </w:p>
        </w:tc>
      </w:tr>
    </w:tbl>
    <w:p>
      <w:pPr>
        <w:keepNext w:val="0"/>
        <w:keepLines w:val="0"/>
        <w:pageBreakBefore w:val="0"/>
        <w:widowControl w:val="0"/>
        <w:kinsoku/>
        <w:wordWrap/>
        <w:overflowPunct/>
        <w:topLinePunct w:val="0"/>
        <w:autoSpaceDE/>
        <w:autoSpaceDN/>
        <w:bidi w:val="0"/>
        <w:adjustRightInd/>
        <w:snapToGrid/>
        <w:spacing w:line="520" w:lineRule="exact"/>
        <w:ind w:firstLine="562" w:firstLineChars="200"/>
        <w:textAlignment w:val="auto"/>
        <w:rPr>
          <w:rFonts w:hint="eastAsia"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lang w:eastAsia="zh-CN"/>
        </w:rPr>
        <w:t>十</w:t>
      </w:r>
      <w:r>
        <w:rPr>
          <w:rFonts w:hint="eastAsia" w:ascii="仿宋_GB2312" w:hAnsi="仿宋_GB2312" w:eastAsia="仿宋_GB2312" w:cs="仿宋_GB2312"/>
          <w:b/>
          <w:bCs/>
          <w:color w:val="auto"/>
          <w:sz w:val="28"/>
          <w:szCs w:val="28"/>
        </w:rPr>
        <w:t>、</w:t>
      </w:r>
      <w:r>
        <w:rPr>
          <w:rFonts w:hint="eastAsia" w:ascii="仿宋_GB2312" w:hAnsi="仿宋_GB2312" w:eastAsia="仿宋_GB2312" w:cs="仿宋_GB2312"/>
          <w:b/>
          <w:bCs/>
          <w:color w:val="auto"/>
          <w:sz w:val="28"/>
          <w:szCs w:val="28"/>
          <w:lang w:eastAsia="zh-CN"/>
        </w:rPr>
        <w:t>竞争性磋商</w:t>
      </w:r>
      <w:r>
        <w:rPr>
          <w:rFonts w:hint="eastAsia" w:ascii="仿宋_GB2312" w:hAnsi="仿宋_GB2312" w:eastAsia="仿宋_GB2312" w:cs="仿宋_GB2312"/>
          <w:b/>
          <w:bCs/>
          <w:color w:val="auto"/>
          <w:sz w:val="28"/>
          <w:szCs w:val="28"/>
        </w:rPr>
        <w:t>文件的获取和递交</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1.凡有意参加</w:t>
      </w:r>
      <w:r>
        <w:rPr>
          <w:rFonts w:hint="eastAsia" w:ascii="仿宋_GB2312" w:hAnsi="仿宋_GB2312" w:eastAsia="仿宋_GB2312" w:cs="仿宋_GB2312"/>
          <w:color w:val="auto"/>
          <w:sz w:val="28"/>
          <w:szCs w:val="28"/>
          <w:lang w:eastAsia="zh-CN"/>
        </w:rPr>
        <w:t>竞争性磋商</w:t>
      </w:r>
      <w:r>
        <w:rPr>
          <w:rFonts w:hint="eastAsia" w:ascii="仿宋_GB2312" w:hAnsi="仿宋_GB2312" w:eastAsia="仿宋_GB2312" w:cs="仿宋_GB2312"/>
          <w:color w:val="auto"/>
          <w:sz w:val="28"/>
          <w:szCs w:val="28"/>
        </w:rPr>
        <w:t>者，请在</w:t>
      </w:r>
      <w:r>
        <w:rPr>
          <w:rFonts w:hint="eastAsia" w:ascii="仿宋_GB2312" w:hAnsi="仿宋_GB2312" w:eastAsia="仿宋_GB2312" w:cs="仿宋_GB2312"/>
          <w:color w:val="auto"/>
          <w:sz w:val="28"/>
          <w:szCs w:val="28"/>
          <w:lang w:eastAsia="zh-CN"/>
        </w:rPr>
        <w:t>河南理工大学“招标公告”栏</w:t>
      </w:r>
      <w:r>
        <w:rPr>
          <w:rFonts w:hint="eastAsia" w:ascii="仿宋_GB2312" w:hAnsi="仿宋_GB2312" w:eastAsia="仿宋_GB2312" w:cs="仿宋_GB2312"/>
          <w:color w:val="auto"/>
          <w:sz w:val="28"/>
          <w:szCs w:val="28"/>
        </w:rPr>
        <w:t>自行下载</w:t>
      </w:r>
      <w:r>
        <w:rPr>
          <w:rFonts w:hint="eastAsia" w:ascii="仿宋_GB2312" w:hAnsi="仿宋_GB2312" w:eastAsia="仿宋_GB2312" w:cs="仿宋_GB2312"/>
          <w:color w:val="auto"/>
          <w:sz w:val="28"/>
          <w:szCs w:val="28"/>
          <w:lang w:eastAsia="zh-CN"/>
        </w:rPr>
        <w:t>竞争性磋商</w:t>
      </w:r>
      <w:r>
        <w:rPr>
          <w:rFonts w:hint="eastAsia" w:ascii="仿宋_GB2312" w:hAnsi="仿宋_GB2312" w:eastAsia="仿宋_GB2312" w:cs="仿宋_GB2312"/>
          <w:color w:val="auto"/>
          <w:sz w:val="28"/>
          <w:szCs w:val="28"/>
        </w:rPr>
        <w:t>文件；</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2.现场答疑时间：2020年10月30日下午15:00—17:00；联系人：王老师；联系电话：0391-3980019。</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3</w:t>
      </w:r>
      <w:r>
        <w:rPr>
          <w:rFonts w:hint="eastAsia" w:ascii="仿宋_GB2312" w:hAnsi="仿宋_GB2312" w:eastAsia="仿宋_GB2312" w:cs="仿宋_GB2312"/>
          <w:color w:val="auto"/>
          <w:sz w:val="28"/>
          <w:szCs w:val="28"/>
        </w:rPr>
        <w:t>.响应性文件递交截止及开标时间为</w:t>
      </w:r>
      <w:r>
        <w:rPr>
          <w:rFonts w:hint="eastAsia" w:ascii="仿宋_GB2312" w:hAnsi="仿宋_GB2312" w:eastAsia="仿宋_GB2312" w:cs="仿宋_GB2312"/>
          <w:color w:val="auto"/>
          <w:sz w:val="28"/>
          <w:szCs w:val="28"/>
          <w:lang w:val="en-US" w:eastAsia="zh-CN"/>
        </w:rPr>
        <w:t>2020年11月5日上午9:00（北京时间）</w:t>
      </w:r>
      <w:r>
        <w:rPr>
          <w:rFonts w:hint="eastAsia" w:ascii="仿宋_GB2312" w:hAnsi="仿宋_GB2312" w:eastAsia="仿宋_GB2312" w:cs="仿宋_GB2312"/>
          <w:color w:val="auto"/>
          <w:sz w:val="28"/>
          <w:szCs w:val="28"/>
        </w:rPr>
        <w:t>；</w:t>
      </w:r>
      <w:bookmarkStart w:id="4" w:name="_GoBack"/>
      <w:bookmarkEnd w:id="4"/>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4</w:t>
      </w:r>
      <w:r>
        <w:rPr>
          <w:rFonts w:hint="eastAsia" w:ascii="仿宋_GB2312" w:hAnsi="仿宋_GB2312" w:eastAsia="仿宋_GB2312" w:cs="仿宋_GB2312"/>
          <w:color w:val="auto"/>
          <w:sz w:val="28"/>
          <w:szCs w:val="28"/>
        </w:rPr>
        <w:t>.</w:t>
      </w:r>
      <w:r>
        <w:rPr>
          <w:rFonts w:hint="eastAsia" w:ascii="仿宋_GB2312" w:hAnsi="仿宋_GB2312" w:eastAsia="仿宋_GB2312" w:cs="仿宋_GB2312"/>
          <w:color w:val="auto"/>
          <w:sz w:val="28"/>
          <w:szCs w:val="28"/>
          <w:lang w:eastAsia="zh-CN"/>
        </w:rPr>
        <w:t>评标</w:t>
      </w:r>
      <w:r>
        <w:rPr>
          <w:rFonts w:hint="eastAsia" w:ascii="仿宋_GB2312" w:hAnsi="仿宋_GB2312" w:eastAsia="仿宋_GB2312" w:cs="仿宋_GB2312"/>
          <w:color w:val="auto"/>
          <w:sz w:val="28"/>
          <w:szCs w:val="28"/>
        </w:rPr>
        <w:t>地点：</w:t>
      </w:r>
      <w:r>
        <w:rPr>
          <w:rFonts w:hint="eastAsia" w:ascii="仿宋_GB2312" w:hAnsi="仿宋_GB2312" w:eastAsia="仿宋_GB2312" w:cs="仿宋_GB2312"/>
          <w:color w:val="auto"/>
          <w:sz w:val="28"/>
          <w:szCs w:val="28"/>
          <w:lang w:eastAsia="zh-CN"/>
        </w:rPr>
        <w:t>河南省焦作市世纪路</w:t>
      </w:r>
      <w:r>
        <w:rPr>
          <w:rFonts w:hint="eastAsia" w:ascii="仿宋_GB2312" w:hAnsi="仿宋_GB2312" w:eastAsia="仿宋_GB2312" w:cs="仿宋_GB2312"/>
          <w:color w:val="auto"/>
          <w:sz w:val="28"/>
          <w:szCs w:val="28"/>
          <w:lang w:val="en-US" w:eastAsia="zh-CN"/>
        </w:rPr>
        <w:t>2001号河南理工大学南校区后勤管理处（集团）414会议室</w:t>
      </w:r>
      <w:r>
        <w:rPr>
          <w:rFonts w:hint="eastAsia" w:ascii="仿宋_GB2312" w:hAnsi="仿宋_GB2312" w:eastAsia="仿宋_GB2312" w:cs="仿宋_GB2312"/>
          <w:color w:val="auto"/>
          <w:sz w:val="28"/>
          <w:szCs w:val="28"/>
        </w:rPr>
        <w:t>。</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rPr>
        <w:t>联系人：</w:t>
      </w:r>
      <w:r>
        <w:rPr>
          <w:rFonts w:hint="eastAsia" w:ascii="仿宋_GB2312" w:hAnsi="仿宋_GB2312" w:eastAsia="仿宋_GB2312" w:cs="仿宋_GB2312"/>
          <w:color w:val="auto"/>
          <w:sz w:val="28"/>
          <w:szCs w:val="28"/>
          <w:lang w:eastAsia="zh-CN"/>
        </w:rPr>
        <w:t>王老师</w:t>
      </w:r>
      <w:r>
        <w:rPr>
          <w:rFonts w:hint="eastAsia" w:ascii="仿宋_GB2312" w:hAnsi="仿宋_GB2312" w:eastAsia="仿宋_GB2312" w:cs="仿宋_GB2312"/>
          <w:color w:val="auto"/>
          <w:sz w:val="28"/>
          <w:szCs w:val="28"/>
          <w:lang w:val="en-US" w:eastAsia="zh-CN"/>
        </w:rPr>
        <w:t xml:space="preserve">     </w:t>
      </w:r>
      <w:r>
        <w:rPr>
          <w:rFonts w:hint="eastAsia" w:ascii="仿宋_GB2312" w:hAnsi="仿宋_GB2312" w:eastAsia="仿宋_GB2312" w:cs="仿宋_GB2312"/>
          <w:color w:val="auto"/>
          <w:sz w:val="28"/>
          <w:szCs w:val="28"/>
        </w:rPr>
        <w:t>联系电话：</w:t>
      </w:r>
      <w:r>
        <w:rPr>
          <w:rFonts w:hint="eastAsia" w:ascii="仿宋_GB2312" w:hAnsi="仿宋_GB2312" w:eastAsia="仿宋_GB2312" w:cs="仿宋_GB2312"/>
          <w:color w:val="auto"/>
          <w:sz w:val="28"/>
          <w:szCs w:val="28"/>
          <w:lang w:val="en-US" w:eastAsia="zh-CN"/>
        </w:rPr>
        <w:t xml:space="preserve">0391-3980019      </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5</w:t>
      </w:r>
      <w:r>
        <w:rPr>
          <w:rFonts w:hint="eastAsia" w:ascii="仿宋_GB2312" w:hAnsi="仿宋_GB2312" w:eastAsia="仿宋_GB2312" w:cs="仿宋_GB2312"/>
          <w:color w:val="auto"/>
          <w:sz w:val="28"/>
          <w:szCs w:val="28"/>
        </w:rPr>
        <w:t>.逾期未送达指定地点的</w:t>
      </w:r>
      <w:r>
        <w:rPr>
          <w:rFonts w:hint="eastAsia" w:ascii="仿宋_GB2312" w:hAnsi="仿宋_GB2312" w:eastAsia="仿宋_GB2312" w:cs="仿宋_GB2312"/>
          <w:color w:val="auto"/>
          <w:sz w:val="28"/>
          <w:szCs w:val="28"/>
          <w:lang w:eastAsia="zh-CN"/>
        </w:rPr>
        <w:t>响应</w:t>
      </w:r>
      <w:r>
        <w:rPr>
          <w:rFonts w:hint="eastAsia" w:ascii="仿宋_GB2312" w:hAnsi="仿宋_GB2312" w:eastAsia="仿宋_GB2312" w:cs="仿宋_GB2312"/>
          <w:color w:val="auto"/>
          <w:sz w:val="28"/>
          <w:szCs w:val="28"/>
        </w:rPr>
        <w:t xml:space="preserve">文件，招标人不予受理。                    </w:t>
      </w:r>
    </w:p>
    <w:p>
      <w:pPr>
        <w:keepNext w:val="0"/>
        <w:keepLines w:val="0"/>
        <w:pageBreakBefore w:val="0"/>
        <w:widowControl w:val="0"/>
        <w:kinsoku/>
        <w:wordWrap/>
        <w:overflowPunct/>
        <w:topLinePunct w:val="0"/>
        <w:autoSpaceDE/>
        <w:autoSpaceDN/>
        <w:bidi w:val="0"/>
        <w:adjustRightInd/>
        <w:snapToGrid/>
        <w:spacing w:line="520" w:lineRule="exact"/>
        <w:ind w:firstLine="4760" w:firstLineChars="1700"/>
        <w:textAlignment w:val="auto"/>
        <w:rPr>
          <w:rFonts w:hint="eastAsia" w:ascii="仿宋_GB2312" w:hAnsi="仿宋_GB2312" w:eastAsia="仿宋_GB2312" w:cs="仿宋_GB2312"/>
          <w:color w:val="auto"/>
          <w:sz w:val="28"/>
          <w:szCs w:val="28"/>
          <w:lang w:eastAsia="zh-CN"/>
        </w:rPr>
      </w:pPr>
    </w:p>
    <w:p>
      <w:pPr>
        <w:keepNext w:val="0"/>
        <w:keepLines w:val="0"/>
        <w:pageBreakBefore w:val="0"/>
        <w:widowControl w:val="0"/>
        <w:kinsoku/>
        <w:wordWrap/>
        <w:overflowPunct/>
        <w:topLinePunct w:val="0"/>
        <w:autoSpaceDE/>
        <w:autoSpaceDN/>
        <w:bidi w:val="0"/>
        <w:adjustRightInd/>
        <w:snapToGrid/>
        <w:spacing w:line="520" w:lineRule="exact"/>
        <w:ind w:firstLine="4760" w:firstLineChars="1700"/>
        <w:textAlignment w:val="auto"/>
        <w:rPr>
          <w:rFonts w:hint="eastAsia" w:ascii="仿宋_GB2312" w:hAnsi="仿宋_GB2312" w:eastAsia="仿宋_GB2312" w:cs="仿宋_GB2312"/>
          <w:color w:val="auto"/>
          <w:sz w:val="28"/>
          <w:szCs w:val="28"/>
          <w:lang w:eastAsia="zh-CN"/>
        </w:rPr>
      </w:pPr>
    </w:p>
    <w:p>
      <w:pPr>
        <w:keepNext w:val="0"/>
        <w:keepLines w:val="0"/>
        <w:pageBreakBefore w:val="0"/>
        <w:widowControl w:val="0"/>
        <w:kinsoku/>
        <w:wordWrap/>
        <w:overflowPunct/>
        <w:topLinePunct w:val="0"/>
        <w:autoSpaceDE/>
        <w:autoSpaceDN/>
        <w:bidi w:val="0"/>
        <w:adjustRightInd/>
        <w:snapToGrid/>
        <w:spacing w:line="520" w:lineRule="exact"/>
        <w:ind w:firstLine="4760" w:firstLineChars="1700"/>
        <w:textAlignment w:val="auto"/>
        <w:rPr>
          <w:rFonts w:hint="eastAsia" w:ascii="仿宋_GB2312" w:hAnsi="仿宋_GB2312" w:eastAsia="仿宋_GB2312" w:cs="仿宋_GB2312"/>
          <w:color w:val="auto"/>
          <w:sz w:val="28"/>
          <w:szCs w:val="28"/>
          <w:lang w:eastAsia="zh-CN"/>
        </w:rPr>
      </w:pPr>
    </w:p>
    <w:p>
      <w:pPr>
        <w:keepNext w:val="0"/>
        <w:keepLines w:val="0"/>
        <w:pageBreakBefore w:val="0"/>
        <w:widowControl w:val="0"/>
        <w:kinsoku/>
        <w:wordWrap/>
        <w:overflowPunct/>
        <w:topLinePunct w:val="0"/>
        <w:autoSpaceDE/>
        <w:autoSpaceDN/>
        <w:bidi w:val="0"/>
        <w:adjustRightInd/>
        <w:snapToGrid/>
        <w:spacing w:line="520" w:lineRule="exact"/>
        <w:ind w:firstLine="4760" w:firstLineChars="1700"/>
        <w:textAlignment w:val="auto"/>
        <w:rPr>
          <w:rFonts w:hint="eastAsia" w:ascii="仿宋_GB2312" w:hAnsi="仿宋_GB2312" w:eastAsia="仿宋_GB2312" w:cs="仿宋_GB2312"/>
          <w:color w:val="auto"/>
          <w:sz w:val="28"/>
          <w:szCs w:val="28"/>
          <w:lang w:eastAsia="zh-CN"/>
        </w:rPr>
      </w:pPr>
    </w:p>
    <w:p>
      <w:pPr>
        <w:keepNext w:val="0"/>
        <w:keepLines w:val="0"/>
        <w:pageBreakBefore w:val="0"/>
        <w:widowControl w:val="0"/>
        <w:kinsoku/>
        <w:wordWrap/>
        <w:overflowPunct/>
        <w:topLinePunct w:val="0"/>
        <w:autoSpaceDE/>
        <w:autoSpaceDN/>
        <w:bidi w:val="0"/>
        <w:adjustRightInd/>
        <w:snapToGrid/>
        <w:spacing w:line="520" w:lineRule="exact"/>
        <w:ind w:firstLine="4760" w:firstLineChars="1700"/>
        <w:textAlignment w:val="auto"/>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lang w:eastAsia="zh-CN"/>
        </w:rPr>
        <w:t>河南理工大学后勤管理处（集团）</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                                          20</w:t>
      </w:r>
      <w:r>
        <w:rPr>
          <w:rFonts w:hint="eastAsia" w:ascii="仿宋_GB2312" w:hAnsi="仿宋_GB2312" w:eastAsia="仿宋_GB2312" w:cs="仿宋_GB2312"/>
          <w:color w:val="auto"/>
          <w:sz w:val="28"/>
          <w:szCs w:val="28"/>
          <w:lang w:val="en-US" w:eastAsia="zh-CN"/>
        </w:rPr>
        <w:t>20</w:t>
      </w:r>
      <w:r>
        <w:rPr>
          <w:rFonts w:hint="eastAsia" w:ascii="仿宋_GB2312" w:hAnsi="仿宋_GB2312" w:eastAsia="仿宋_GB2312" w:cs="仿宋_GB2312"/>
          <w:color w:val="auto"/>
          <w:sz w:val="28"/>
          <w:szCs w:val="28"/>
        </w:rPr>
        <w:t>年</w:t>
      </w:r>
      <w:r>
        <w:rPr>
          <w:rFonts w:hint="eastAsia" w:ascii="仿宋_GB2312" w:hAnsi="仿宋_GB2312" w:eastAsia="仿宋_GB2312" w:cs="仿宋_GB2312"/>
          <w:color w:val="auto"/>
          <w:sz w:val="28"/>
          <w:szCs w:val="28"/>
          <w:lang w:val="en-US" w:eastAsia="zh-CN"/>
        </w:rPr>
        <w:t>10</w:t>
      </w:r>
      <w:r>
        <w:rPr>
          <w:rFonts w:hint="eastAsia" w:ascii="仿宋_GB2312" w:hAnsi="仿宋_GB2312" w:eastAsia="仿宋_GB2312" w:cs="仿宋_GB2312"/>
          <w:color w:val="auto"/>
          <w:sz w:val="28"/>
          <w:szCs w:val="28"/>
        </w:rPr>
        <w:t>月</w:t>
      </w:r>
      <w:r>
        <w:rPr>
          <w:rFonts w:hint="eastAsia" w:ascii="仿宋_GB2312" w:hAnsi="仿宋_GB2312" w:eastAsia="仿宋_GB2312" w:cs="仿宋_GB2312"/>
          <w:color w:val="auto"/>
          <w:sz w:val="28"/>
          <w:szCs w:val="28"/>
          <w:lang w:val="en-US" w:eastAsia="zh-CN"/>
        </w:rPr>
        <w:t>19</w:t>
      </w:r>
      <w:r>
        <w:rPr>
          <w:rFonts w:hint="eastAsia" w:ascii="仿宋_GB2312" w:hAnsi="仿宋_GB2312" w:eastAsia="仿宋_GB2312" w:cs="仿宋_GB2312"/>
          <w:color w:val="auto"/>
          <w:sz w:val="28"/>
          <w:szCs w:val="28"/>
        </w:rPr>
        <w:t>日</w:t>
      </w:r>
    </w:p>
    <w:p>
      <w:pPr>
        <w:pStyle w:val="7"/>
        <w:widowControl/>
        <w:spacing w:before="150" w:after="150" w:line="500" w:lineRule="exact"/>
        <w:rPr>
          <w:rFonts w:ascii="仿宋" w:hAnsi="仿宋" w:eastAsia="仿宋"/>
          <w:color w:val="auto"/>
          <w:sz w:val="28"/>
          <w:szCs w:val="28"/>
        </w:rPr>
      </w:pPr>
    </w:p>
    <w:p>
      <w:pPr>
        <w:pStyle w:val="7"/>
        <w:widowControl/>
        <w:spacing w:before="150" w:after="150" w:line="500" w:lineRule="exact"/>
        <w:rPr>
          <w:rFonts w:ascii="仿宋" w:hAnsi="仿宋" w:eastAsia="仿宋"/>
          <w:color w:val="auto"/>
          <w:sz w:val="28"/>
          <w:szCs w:val="28"/>
        </w:rPr>
      </w:pPr>
    </w:p>
    <w:p>
      <w:pPr>
        <w:snapToGrid w:val="0"/>
        <w:spacing w:line="400" w:lineRule="exact"/>
        <w:rPr>
          <w:rFonts w:ascii="宋体"/>
          <w:b/>
          <w:color w:val="auto"/>
          <w:sz w:val="28"/>
          <w:szCs w:val="28"/>
        </w:rPr>
      </w:pPr>
      <w:r>
        <w:rPr>
          <w:rFonts w:hint="eastAsia" w:ascii="宋体" w:hAnsi="宋体"/>
          <w:b/>
          <w:color w:val="auto"/>
          <w:sz w:val="28"/>
          <w:szCs w:val="28"/>
        </w:rPr>
        <w:t>附件</w:t>
      </w:r>
      <w:r>
        <w:rPr>
          <w:rFonts w:ascii="宋体" w:hAnsi="宋体"/>
          <w:b/>
          <w:color w:val="auto"/>
          <w:sz w:val="28"/>
          <w:szCs w:val="28"/>
        </w:rPr>
        <w:t>1</w:t>
      </w:r>
      <w:r>
        <w:rPr>
          <w:rFonts w:hint="eastAsia" w:ascii="宋体" w:hAnsi="宋体"/>
          <w:b/>
          <w:color w:val="auto"/>
          <w:sz w:val="28"/>
          <w:szCs w:val="28"/>
        </w:rPr>
        <w:t>：</w:t>
      </w:r>
    </w:p>
    <w:p>
      <w:pPr>
        <w:pStyle w:val="2"/>
        <w:numPr>
          <w:ilvl w:val="0"/>
          <w:numId w:val="1"/>
        </w:numPr>
        <w:spacing w:line="400" w:lineRule="exact"/>
        <w:jc w:val="center"/>
        <w:rPr>
          <w:rStyle w:val="14"/>
          <w:rFonts w:hint="eastAsia" w:ascii="黑体" w:eastAsia="黑体"/>
          <w:b w:val="0"/>
          <w:bCs/>
          <w:color w:val="auto"/>
          <w:sz w:val="30"/>
          <w:szCs w:val="30"/>
        </w:rPr>
      </w:pPr>
      <w:bookmarkStart w:id="0" w:name="_Toc144002953"/>
      <w:bookmarkStart w:id="1" w:name="_Toc142982823"/>
      <w:r>
        <w:rPr>
          <w:rStyle w:val="14"/>
          <w:rFonts w:hint="eastAsia" w:ascii="黑体" w:eastAsia="黑体"/>
          <w:b w:val="0"/>
          <w:bCs/>
          <w:color w:val="auto"/>
          <w:sz w:val="30"/>
          <w:szCs w:val="30"/>
          <w:lang w:eastAsia="zh-CN"/>
        </w:rPr>
        <w:t>响应</w:t>
      </w:r>
      <w:r>
        <w:rPr>
          <w:rStyle w:val="14"/>
          <w:rFonts w:hint="eastAsia" w:ascii="黑体" w:eastAsia="黑体"/>
          <w:b w:val="0"/>
          <w:bCs/>
          <w:color w:val="auto"/>
          <w:sz w:val="30"/>
          <w:szCs w:val="30"/>
        </w:rPr>
        <w:t>函</w:t>
      </w:r>
    </w:p>
    <w:p>
      <w:pPr>
        <w:numPr>
          <w:ilvl w:val="0"/>
          <w:numId w:val="0"/>
        </w:numPr>
      </w:pPr>
    </w:p>
    <w:bookmarkEnd w:id="0"/>
    <w:bookmarkEnd w:id="1"/>
    <w:p>
      <w:pPr>
        <w:spacing w:line="400" w:lineRule="exact"/>
        <w:ind w:firstLine="599" w:firstLineChars="214"/>
        <w:rPr>
          <w:rFonts w:ascii="宋体"/>
          <w:color w:val="auto"/>
          <w:sz w:val="28"/>
          <w:szCs w:val="28"/>
        </w:rPr>
      </w:pPr>
      <w:r>
        <w:rPr>
          <w:rFonts w:hint="eastAsia" w:ascii="宋体" w:hAnsi="宋体"/>
          <w:color w:val="auto"/>
          <w:sz w:val="28"/>
          <w:szCs w:val="28"/>
        </w:rPr>
        <w:t>致：</w:t>
      </w:r>
      <w:r>
        <w:rPr>
          <w:rFonts w:ascii="宋体" w:hAnsi="宋体"/>
          <w:color w:val="auto"/>
          <w:sz w:val="28"/>
          <w:szCs w:val="28"/>
          <w:u w:val="single"/>
        </w:rPr>
        <w:t xml:space="preserve">  </w:t>
      </w:r>
      <w:r>
        <w:rPr>
          <w:rFonts w:hint="eastAsia" w:ascii="宋体" w:hAnsi="宋体"/>
          <w:color w:val="auto"/>
          <w:sz w:val="28"/>
          <w:szCs w:val="28"/>
          <w:u w:val="single"/>
          <w:lang w:val="en-US" w:eastAsia="zh-CN"/>
        </w:rPr>
        <w:t xml:space="preserve">   </w:t>
      </w:r>
      <w:r>
        <w:rPr>
          <w:rFonts w:ascii="宋体" w:hAnsi="宋体"/>
          <w:color w:val="auto"/>
          <w:sz w:val="28"/>
          <w:szCs w:val="28"/>
          <w:u w:val="single"/>
        </w:rPr>
        <w:t xml:space="preserve">  (</w:t>
      </w:r>
      <w:r>
        <w:rPr>
          <w:rFonts w:hint="eastAsia" w:ascii="宋体" w:hAnsi="宋体"/>
          <w:color w:val="auto"/>
          <w:sz w:val="28"/>
          <w:szCs w:val="28"/>
          <w:u w:val="single"/>
        </w:rPr>
        <w:t>招标人名称</w:t>
      </w:r>
      <w:r>
        <w:rPr>
          <w:rFonts w:ascii="宋体" w:hAnsi="宋体"/>
          <w:color w:val="auto"/>
          <w:sz w:val="28"/>
          <w:szCs w:val="28"/>
          <w:u w:val="single"/>
        </w:rPr>
        <w:t xml:space="preserve">) </w:t>
      </w:r>
    </w:p>
    <w:p>
      <w:pPr>
        <w:spacing w:line="400" w:lineRule="exact"/>
        <w:ind w:firstLine="599" w:firstLineChars="214"/>
        <w:rPr>
          <w:rFonts w:ascii="宋体"/>
          <w:color w:val="auto"/>
          <w:sz w:val="28"/>
          <w:szCs w:val="28"/>
        </w:rPr>
      </w:pPr>
      <w:r>
        <w:rPr>
          <w:rFonts w:ascii="宋体" w:hAnsi="宋体"/>
          <w:color w:val="auto"/>
          <w:sz w:val="28"/>
          <w:szCs w:val="28"/>
        </w:rPr>
        <w:t>1</w:t>
      </w:r>
      <w:r>
        <w:rPr>
          <w:rFonts w:hint="eastAsia" w:ascii="宋体" w:hAnsi="宋体"/>
          <w:color w:val="auto"/>
          <w:sz w:val="28"/>
          <w:szCs w:val="28"/>
        </w:rPr>
        <w:t>．在研究了</w:t>
      </w:r>
      <w:r>
        <w:rPr>
          <w:rFonts w:ascii="宋体" w:hAnsi="宋体"/>
          <w:color w:val="auto"/>
          <w:sz w:val="28"/>
          <w:szCs w:val="28"/>
        </w:rPr>
        <w:t xml:space="preserve"> </w:t>
      </w:r>
      <w:r>
        <w:rPr>
          <w:rFonts w:ascii="宋体" w:hAnsi="宋体"/>
          <w:color w:val="auto"/>
          <w:sz w:val="28"/>
          <w:szCs w:val="28"/>
          <w:u w:val="single"/>
        </w:rPr>
        <w:t xml:space="preserve">          (</w:t>
      </w:r>
      <w:r>
        <w:rPr>
          <w:rFonts w:hint="eastAsia" w:ascii="宋体" w:hAnsi="宋体"/>
          <w:color w:val="auto"/>
          <w:sz w:val="28"/>
          <w:szCs w:val="28"/>
          <w:u w:val="single"/>
        </w:rPr>
        <w:t>项目名称</w:t>
      </w:r>
      <w:r>
        <w:rPr>
          <w:rFonts w:ascii="宋体" w:hAnsi="宋体"/>
          <w:color w:val="auto"/>
          <w:sz w:val="28"/>
          <w:szCs w:val="28"/>
          <w:u w:val="single"/>
        </w:rPr>
        <w:t xml:space="preserve">) </w:t>
      </w:r>
      <w:r>
        <w:rPr>
          <w:rFonts w:ascii="宋体" w:hAnsi="宋体"/>
          <w:color w:val="auto"/>
          <w:sz w:val="28"/>
          <w:szCs w:val="28"/>
        </w:rPr>
        <w:t xml:space="preserve"> </w:t>
      </w:r>
      <w:r>
        <w:rPr>
          <w:rFonts w:hint="eastAsia" w:ascii="宋体" w:hAnsi="宋体"/>
          <w:color w:val="auto"/>
          <w:sz w:val="28"/>
          <w:szCs w:val="28"/>
        </w:rPr>
        <w:t>的</w:t>
      </w:r>
      <w:r>
        <w:rPr>
          <w:rFonts w:hint="eastAsia" w:ascii="宋体" w:hAnsi="宋体"/>
          <w:color w:val="auto"/>
          <w:sz w:val="28"/>
          <w:szCs w:val="28"/>
          <w:lang w:eastAsia="zh-CN"/>
        </w:rPr>
        <w:t>竞争性磋商</w:t>
      </w:r>
      <w:r>
        <w:rPr>
          <w:rFonts w:hint="eastAsia" w:ascii="宋体" w:hAnsi="宋体"/>
          <w:color w:val="auto"/>
          <w:sz w:val="28"/>
          <w:szCs w:val="28"/>
        </w:rPr>
        <w:t>文件（公告）后，我方完全符合文件要求，并响应文件条款要求，最终根据上述</w:t>
      </w:r>
      <w:r>
        <w:rPr>
          <w:rFonts w:hint="eastAsia" w:ascii="宋体" w:hAnsi="宋体"/>
          <w:color w:val="auto"/>
          <w:sz w:val="28"/>
          <w:szCs w:val="28"/>
          <w:lang w:eastAsia="zh-CN"/>
        </w:rPr>
        <w:t>竞争性磋商</w:t>
      </w:r>
      <w:r>
        <w:rPr>
          <w:rFonts w:hint="eastAsia" w:ascii="宋体" w:hAnsi="宋体"/>
          <w:color w:val="auto"/>
          <w:sz w:val="28"/>
          <w:szCs w:val="28"/>
        </w:rPr>
        <w:t>文件核实并确定向学校缴纳</w:t>
      </w:r>
      <w:r>
        <w:rPr>
          <w:rFonts w:hint="eastAsia" w:ascii="宋体" w:hAnsi="宋体"/>
          <w:color w:val="auto"/>
          <w:sz w:val="28"/>
          <w:szCs w:val="28"/>
          <w:lang w:eastAsia="zh-CN"/>
        </w:rPr>
        <w:t>资源占用费</w:t>
      </w:r>
      <w:r>
        <w:rPr>
          <w:rFonts w:hint="eastAsia" w:ascii="宋体" w:hAnsi="宋体"/>
          <w:color w:val="auto"/>
          <w:sz w:val="28"/>
          <w:szCs w:val="28"/>
        </w:rPr>
        <w:t>：小写：</w:t>
      </w:r>
      <w:r>
        <w:rPr>
          <w:rFonts w:ascii="宋体" w:hAnsi="宋体"/>
          <w:color w:val="auto"/>
          <w:sz w:val="28"/>
          <w:szCs w:val="28"/>
          <w:u w:val="single"/>
        </w:rPr>
        <w:t xml:space="preserve">      </w:t>
      </w:r>
      <w:r>
        <w:rPr>
          <w:rFonts w:hint="eastAsia" w:ascii="宋体" w:hAnsi="宋体"/>
          <w:color w:val="auto"/>
          <w:sz w:val="28"/>
          <w:szCs w:val="28"/>
          <w:u w:val="single"/>
        </w:rPr>
        <w:t>万元</w:t>
      </w:r>
      <w:r>
        <w:rPr>
          <w:rFonts w:ascii="宋体" w:hAnsi="宋体"/>
          <w:color w:val="auto"/>
          <w:sz w:val="28"/>
          <w:szCs w:val="28"/>
          <w:u w:val="single"/>
        </w:rPr>
        <w:t>/</w:t>
      </w:r>
      <w:r>
        <w:rPr>
          <w:rFonts w:hint="eastAsia" w:ascii="宋体" w:hAnsi="宋体"/>
          <w:color w:val="auto"/>
          <w:sz w:val="28"/>
          <w:szCs w:val="28"/>
          <w:u w:val="single"/>
        </w:rPr>
        <w:t>年</w:t>
      </w:r>
      <w:r>
        <w:rPr>
          <w:rFonts w:ascii="宋体" w:hAnsi="宋体"/>
          <w:color w:val="auto"/>
          <w:sz w:val="28"/>
          <w:szCs w:val="28"/>
          <w:u w:val="single"/>
        </w:rPr>
        <w:t xml:space="preserve">    </w:t>
      </w:r>
      <w:r>
        <w:rPr>
          <w:rFonts w:hint="eastAsia" w:ascii="宋体" w:hAnsi="宋体"/>
          <w:color w:val="auto"/>
          <w:sz w:val="28"/>
          <w:szCs w:val="28"/>
        </w:rPr>
        <w:t>大写</w:t>
      </w:r>
      <w:r>
        <w:rPr>
          <w:rFonts w:hint="eastAsia" w:ascii="宋体" w:hAnsi="宋体"/>
          <w:color w:val="auto"/>
          <w:sz w:val="28"/>
          <w:szCs w:val="28"/>
          <w:u w:val="single"/>
        </w:rPr>
        <w:t>：</w:t>
      </w:r>
      <w:r>
        <w:rPr>
          <w:rFonts w:ascii="宋体" w:hAnsi="宋体"/>
          <w:color w:val="auto"/>
          <w:sz w:val="28"/>
          <w:szCs w:val="28"/>
          <w:u w:val="single"/>
        </w:rPr>
        <w:t xml:space="preserve">    </w:t>
      </w:r>
      <w:r>
        <w:rPr>
          <w:rFonts w:hint="eastAsia" w:ascii="宋体" w:hAnsi="宋体"/>
          <w:color w:val="auto"/>
          <w:sz w:val="28"/>
          <w:szCs w:val="28"/>
          <w:u w:val="single"/>
        </w:rPr>
        <w:t>万元</w:t>
      </w:r>
      <w:r>
        <w:rPr>
          <w:rFonts w:ascii="宋体" w:hAnsi="宋体"/>
          <w:color w:val="auto"/>
          <w:sz w:val="28"/>
          <w:szCs w:val="28"/>
          <w:u w:val="single"/>
        </w:rPr>
        <w:t>/</w:t>
      </w:r>
      <w:r>
        <w:rPr>
          <w:rFonts w:hint="eastAsia" w:ascii="宋体" w:hAnsi="宋体"/>
          <w:color w:val="auto"/>
          <w:sz w:val="28"/>
          <w:szCs w:val="28"/>
          <w:u w:val="single"/>
        </w:rPr>
        <w:t>年</w:t>
      </w:r>
      <w:r>
        <w:rPr>
          <w:rFonts w:ascii="宋体" w:hAnsi="宋体"/>
          <w:color w:val="auto"/>
          <w:sz w:val="28"/>
          <w:szCs w:val="28"/>
          <w:u w:val="single"/>
        </w:rPr>
        <w:t xml:space="preserve">  </w:t>
      </w:r>
      <w:r>
        <w:rPr>
          <w:rFonts w:hint="eastAsia" w:ascii="宋体" w:hAnsi="宋体"/>
          <w:color w:val="auto"/>
          <w:sz w:val="28"/>
          <w:szCs w:val="28"/>
        </w:rPr>
        <w:t>。</w:t>
      </w:r>
    </w:p>
    <w:p>
      <w:pPr>
        <w:spacing w:line="400" w:lineRule="exact"/>
        <w:ind w:firstLine="599" w:firstLineChars="214"/>
        <w:rPr>
          <w:rFonts w:ascii="宋体"/>
          <w:color w:val="auto"/>
          <w:sz w:val="28"/>
          <w:szCs w:val="28"/>
        </w:rPr>
      </w:pPr>
      <w:r>
        <w:rPr>
          <w:rFonts w:ascii="宋体" w:hAnsi="宋体"/>
          <w:color w:val="auto"/>
          <w:sz w:val="28"/>
          <w:szCs w:val="28"/>
        </w:rPr>
        <w:t>2</w:t>
      </w:r>
      <w:r>
        <w:rPr>
          <w:rFonts w:hint="eastAsia" w:ascii="宋体" w:hAnsi="宋体"/>
          <w:color w:val="auto"/>
          <w:sz w:val="28"/>
          <w:szCs w:val="28"/>
        </w:rPr>
        <w:t>．随同本</w:t>
      </w:r>
      <w:r>
        <w:rPr>
          <w:rFonts w:hint="eastAsia" w:ascii="宋体" w:hAnsi="宋体"/>
          <w:color w:val="auto"/>
          <w:sz w:val="28"/>
          <w:szCs w:val="28"/>
          <w:lang w:eastAsia="zh-CN"/>
        </w:rPr>
        <w:t>响应</w:t>
      </w:r>
      <w:r>
        <w:rPr>
          <w:rFonts w:hint="eastAsia" w:ascii="宋体" w:hAnsi="宋体"/>
          <w:color w:val="auto"/>
          <w:sz w:val="28"/>
          <w:szCs w:val="28"/>
        </w:rPr>
        <w:t>函递交的</w:t>
      </w:r>
      <w:r>
        <w:rPr>
          <w:rFonts w:hint="eastAsia" w:ascii="宋体" w:hAnsi="宋体"/>
          <w:color w:val="auto"/>
          <w:sz w:val="28"/>
          <w:szCs w:val="28"/>
          <w:lang w:eastAsia="zh-CN"/>
        </w:rPr>
        <w:t>响应</w:t>
      </w:r>
      <w:r>
        <w:rPr>
          <w:rFonts w:hint="eastAsia" w:ascii="宋体" w:hAnsi="宋体"/>
          <w:color w:val="auto"/>
          <w:sz w:val="28"/>
          <w:szCs w:val="28"/>
        </w:rPr>
        <w:t>保证金一份，金额为人民币（大写</w:t>
      </w:r>
      <w:r>
        <w:rPr>
          <w:rFonts w:hint="eastAsia" w:ascii="宋体" w:hAnsi="宋体"/>
          <w:color w:val="auto"/>
          <w:sz w:val="28"/>
          <w:szCs w:val="28"/>
          <w:u w:val="single"/>
        </w:rPr>
        <w:t>）</w:t>
      </w:r>
      <w:r>
        <w:rPr>
          <w:rFonts w:ascii="宋体" w:hAnsi="宋体"/>
          <w:color w:val="auto"/>
          <w:sz w:val="28"/>
          <w:szCs w:val="28"/>
          <w:u w:val="single"/>
        </w:rPr>
        <w:t xml:space="preserve">         </w:t>
      </w:r>
      <w:r>
        <w:rPr>
          <w:rFonts w:ascii="宋体" w:hAnsi="宋体"/>
          <w:color w:val="auto"/>
          <w:sz w:val="28"/>
          <w:szCs w:val="28"/>
        </w:rPr>
        <w:t xml:space="preserve">  </w:t>
      </w:r>
      <w:r>
        <w:rPr>
          <w:rFonts w:hint="eastAsia" w:ascii="宋体" w:hAnsi="宋体"/>
          <w:color w:val="auto"/>
          <w:sz w:val="28"/>
          <w:szCs w:val="28"/>
        </w:rPr>
        <w:t>元（￥</w:t>
      </w:r>
      <w:r>
        <w:rPr>
          <w:rFonts w:ascii="宋体" w:hAnsi="宋体"/>
          <w:color w:val="auto"/>
          <w:sz w:val="28"/>
          <w:szCs w:val="28"/>
        </w:rPr>
        <w:t xml:space="preserve"> </w:t>
      </w:r>
      <w:r>
        <w:rPr>
          <w:rFonts w:hint="eastAsia" w:ascii="宋体" w:hAnsi="宋体"/>
          <w:color w:val="auto"/>
          <w:sz w:val="28"/>
          <w:szCs w:val="28"/>
        </w:rPr>
        <w:t>）。</w:t>
      </w:r>
    </w:p>
    <w:p>
      <w:pPr>
        <w:spacing w:line="400" w:lineRule="exact"/>
        <w:ind w:firstLine="599" w:firstLineChars="214"/>
        <w:rPr>
          <w:rFonts w:ascii="宋体"/>
          <w:color w:val="auto"/>
          <w:sz w:val="28"/>
          <w:szCs w:val="28"/>
        </w:rPr>
      </w:pPr>
      <w:r>
        <w:rPr>
          <w:rFonts w:hint="eastAsia" w:ascii="宋体" w:hAnsi="宋体"/>
          <w:color w:val="auto"/>
          <w:sz w:val="28"/>
          <w:szCs w:val="28"/>
          <w:lang w:val="en-US" w:eastAsia="zh-CN"/>
        </w:rPr>
        <w:t>3.</w:t>
      </w:r>
      <w:r>
        <w:rPr>
          <w:rFonts w:hint="eastAsia" w:ascii="宋体" w:hAnsi="宋体"/>
          <w:color w:val="auto"/>
          <w:sz w:val="28"/>
          <w:szCs w:val="28"/>
        </w:rPr>
        <w:t>如我方中标：</w:t>
      </w:r>
    </w:p>
    <w:p>
      <w:pPr>
        <w:spacing w:line="400" w:lineRule="exact"/>
        <w:ind w:firstLine="599" w:firstLineChars="214"/>
        <w:rPr>
          <w:rFonts w:ascii="宋体"/>
          <w:color w:val="auto"/>
          <w:sz w:val="28"/>
          <w:szCs w:val="28"/>
        </w:rPr>
      </w:pPr>
      <w:r>
        <w:rPr>
          <w:rFonts w:hint="eastAsia" w:ascii="宋体" w:hAnsi="宋体"/>
          <w:color w:val="auto"/>
          <w:sz w:val="28"/>
          <w:szCs w:val="28"/>
        </w:rPr>
        <w:t>（</w:t>
      </w:r>
      <w:r>
        <w:rPr>
          <w:rFonts w:ascii="宋体" w:hAnsi="宋体"/>
          <w:color w:val="auto"/>
          <w:sz w:val="28"/>
          <w:szCs w:val="28"/>
        </w:rPr>
        <w:t>1</w:t>
      </w:r>
      <w:r>
        <w:rPr>
          <w:rFonts w:hint="eastAsia" w:ascii="宋体" w:hAnsi="宋体"/>
          <w:color w:val="auto"/>
          <w:sz w:val="28"/>
          <w:szCs w:val="28"/>
        </w:rPr>
        <w:t>）我方承诺在收到中标通知书后，在中标通知书规定的期限内，与你方按照</w:t>
      </w:r>
      <w:r>
        <w:rPr>
          <w:rFonts w:hint="eastAsia" w:ascii="宋体" w:hAnsi="宋体"/>
          <w:color w:val="auto"/>
          <w:sz w:val="28"/>
          <w:szCs w:val="28"/>
          <w:lang w:eastAsia="zh-CN"/>
        </w:rPr>
        <w:t>竞争性磋商</w:t>
      </w:r>
      <w:r>
        <w:rPr>
          <w:rFonts w:hint="eastAsia" w:ascii="宋体" w:hAnsi="宋体"/>
          <w:color w:val="auto"/>
          <w:sz w:val="28"/>
          <w:szCs w:val="28"/>
        </w:rPr>
        <w:t>文件和我方的</w:t>
      </w:r>
      <w:r>
        <w:rPr>
          <w:rFonts w:hint="eastAsia" w:ascii="宋体" w:hAnsi="宋体"/>
          <w:color w:val="auto"/>
          <w:sz w:val="28"/>
          <w:szCs w:val="28"/>
          <w:lang w:eastAsia="zh-CN"/>
        </w:rPr>
        <w:t>响应</w:t>
      </w:r>
      <w:r>
        <w:rPr>
          <w:rFonts w:hint="eastAsia" w:ascii="宋体" w:hAnsi="宋体"/>
          <w:color w:val="auto"/>
          <w:sz w:val="28"/>
          <w:szCs w:val="28"/>
        </w:rPr>
        <w:t>文件签订合同。</w:t>
      </w:r>
    </w:p>
    <w:p>
      <w:pPr>
        <w:spacing w:line="400" w:lineRule="exact"/>
        <w:ind w:firstLine="599" w:firstLineChars="214"/>
        <w:rPr>
          <w:rFonts w:ascii="宋体"/>
          <w:color w:val="auto"/>
          <w:sz w:val="28"/>
          <w:szCs w:val="28"/>
        </w:rPr>
      </w:pPr>
      <w:r>
        <w:rPr>
          <w:rFonts w:hint="eastAsia" w:ascii="宋体" w:hAnsi="宋体"/>
          <w:color w:val="auto"/>
          <w:sz w:val="28"/>
          <w:szCs w:val="28"/>
        </w:rPr>
        <w:t>（</w:t>
      </w:r>
      <w:r>
        <w:rPr>
          <w:rFonts w:ascii="宋体" w:hAnsi="宋体"/>
          <w:color w:val="auto"/>
          <w:sz w:val="28"/>
          <w:szCs w:val="28"/>
        </w:rPr>
        <w:t>2</w:t>
      </w:r>
      <w:r>
        <w:rPr>
          <w:rFonts w:hint="eastAsia" w:ascii="宋体" w:hAnsi="宋体"/>
          <w:color w:val="auto"/>
          <w:sz w:val="28"/>
          <w:szCs w:val="28"/>
        </w:rPr>
        <w:t>）随同本</w:t>
      </w:r>
      <w:r>
        <w:rPr>
          <w:rFonts w:hint="eastAsia" w:ascii="宋体" w:hAnsi="宋体"/>
          <w:color w:val="auto"/>
          <w:sz w:val="28"/>
          <w:szCs w:val="28"/>
          <w:lang w:eastAsia="zh-CN"/>
        </w:rPr>
        <w:t>响应</w:t>
      </w:r>
      <w:r>
        <w:rPr>
          <w:rFonts w:hint="eastAsia" w:ascii="宋体" w:hAnsi="宋体"/>
          <w:color w:val="auto"/>
          <w:sz w:val="28"/>
          <w:szCs w:val="28"/>
        </w:rPr>
        <w:t>函递交的</w:t>
      </w:r>
      <w:r>
        <w:rPr>
          <w:rFonts w:hint="eastAsia" w:ascii="宋体" w:hAnsi="宋体"/>
          <w:color w:val="auto"/>
          <w:sz w:val="28"/>
          <w:szCs w:val="28"/>
          <w:lang w:eastAsia="zh-CN"/>
        </w:rPr>
        <w:t>响应</w:t>
      </w:r>
      <w:r>
        <w:rPr>
          <w:rFonts w:hint="eastAsia" w:ascii="宋体" w:hAnsi="宋体"/>
          <w:color w:val="auto"/>
          <w:sz w:val="28"/>
          <w:szCs w:val="28"/>
        </w:rPr>
        <w:t>函附录属于合同文件的组成部分。</w:t>
      </w:r>
    </w:p>
    <w:p>
      <w:pPr>
        <w:spacing w:line="400" w:lineRule="exact"/>
        <w:ind w:firstLine="599" w:firstLineChars="214"/>
        <w:rPr>
          <w:rFonts w:ascii="宋体"/>
          <w:color w:val="auto"/>
          <w:sz w:val="28"/>
          <w:szCs w:val="28"/>
        </w:rPr>
      </w:pPr>
      <w:r>
        <w:rPr>
          <w:rFonts w:hint="eastAsia" w:ascii="宋体" w:hAnsi="宋体"/>
          <w:color w:val="auto"/>
          <w:sz w:val="28"/>
          <w:szCs w:val="28"/>
        </w:rPr>
        <w:t>（</w:t>
      </w:r>
      <w:r>
        <w:rPr>
          <w:rFonts w:ascii="宋体" w:hAnsi="宋体"/>
          <w:color w:val="auto"/>
          <w:sz w:val="28"/>
          <w:szCs w:val="28"/>
        </w:rPr>
        <w:t>3</w:t>
      </w:r>
      <w:r>
        <w:rPr>
          <w:rFonts w:hint="eastAsia" w:ascii="宋体" w:hAnsi="宋体"/>
          <w:color w:val="auto"/>
          <w:sz w:val="28"/>
          <w:szCs w:val="28"/>
        </w:rPr>
        <w:t>）我方承诺按照</w:t>
      </w:r>
      <w:r>
        <w:rPr>
          <w:rFonts w:hint="eastAsia" w:ascii="宋体" w:hAnsi="宋体"/>
          <w:color w:val="auto"/>
          <w:sz w:val="28"/>
          <w:szCs w:val="28"/>
          <w:lang w:eastAsia="zh-CN"/>
        </w:rPr>
        <w:t>竞争性磋商</w:t>
      </w:r>
      <w:r>
        <w:rPr>
          <w:rFonts w:hint="eastAsia" w:ascii="宋体" w:hAnsi="宋体"/>
          <w:color w:val="auto"/>
          <w:sz w:val="28"/>
          <w:szCs w:val="28"/>
        </w:rPr>
        <w:t>文件规定向你方递交</w:t>
      </w:r>
      <w:r>
        <w:rPr>
          <w:rFonts w:hint="eastAsia" w:ascii="宋体" w:hAnsi="宋体"/>
          <w:color w:val="auto"/>
          <w:sz w:val="28"/>
          <w:szCs w:val="28"/>
          <w:lang w:eastAsia="zh-CN"/>
        </w:rPr>
        <w:t>服务保证金</w:t>
      </w:r>
      <w:r>
        <w:rPr>
          <w:rFonts w:hint="eastAsia" w:ascii="宋体" w:hAnsi="宋体"/>
          <w:color w:val="auto"/>
          <w:sz w:val="28"/>
          <w:szCs w:val="28"/>
        </w:rPr>
        <w:t>。</w:t>
      </w:r>
    </w:p>
    <w:p>
      <w:pPr>
        <w:spacing w:line="400" w:lineRule="exact"/>
        <w:ind w:firstLine="599" w:firstLineChars="214"/>
        <w:rPr>
          <w:rFonts w:ascii="宋体"/>
          <w:color w:val="auto"/>
          <w:sz w:val="28"/>
          <w:szCs w:val="28"/>
        </w:rPr>
      </w:pPr>
      <w:r>
        <w:rPr>
          <w:rFonts w:hint="eastAsia" w:ascii="宋体" w:hAnsi="宋体"/>
          <w:color w:val="auto"/>
          <w:sz w:val="28"/>
          <w:szCs w:val="28"/>
        </w:rPr>
        <w:t>（</w:t>
      </w:r>
      <w:r>
        <w:rPr>
          <w:rFonts w:ascii="宋体" w:hAnsi="宋体"/>
          <w:color w:val="auto"/>
          <w:sz w:val="28"/>
          <w:szCs w:val="28"/>
        </w:rPr>
        <w:t>4</w:t>
      </w:r>
      <w:r>
        <w:rPr>
          <w:rFonts w:hint="eastAsia" w:ascii="宋体" w:hAnsi="宋体"/>
          <w:color w:val="auto"/>
          <w:sz w:val="28"/>
          <w:szCs w:val="28"/>
        </w:rPr>
        <w:t>）我方承诺在合同约定的期限内完成全部合同内容。</w:t>
      </w:r>
    </w:p>
    <w:p>
      <w:pPr>
        <w:spacing w:line="400" w:lineRule="exact"/>
        <w:ind w:firstLine="599" w:firstLineChars="214"/>
        <w:rPr>
          <w:rFonts w:ascii="宋体"/>
          <w:color w:val="auto"/>
          <w:sz w:val="28"/>
          <w:szCs w:val="28"/>
        </w:rPr>
      </w:pPr>
      <w:r>
        <w:rPr>
          <w:rFonts w:hint="eastAsia" w:ascii="宋体" w:hAnsi="宋体"/>
          <w:color w:val="auto"/>
          <w:sz w:val="28"/>
          <w:szCs w:val="28"/>
          <w:lang w:val="en-US" w:eastAsia="zh-CN"/>
        </w:rPr>
        <w:t>4.</w:t>
      </w:r>
      <w:r>
        <w:rPr>
          <w:rFonts w:hint="eastAsia" w:ascii="宋体" w:hAnsi="宋体"/>
          <w:color w:val="auto"/>
          <w:sz w:val="28"/>
          <w:szCs w:val="28"/>
        </w:rPr>
        <w:t>我方理解，贵</w:t>
      </w:r>
      <w:r>
        <w:rPr>
          <w:rFonts w:hint="eastAsia" w:ascii="宋体" w:hAnsi="宋体"/>
          <w:color w:val="auto"/>
          <w:sz w:val="28"/>
          <w:szCs w:val="28"/>
          <w:lang w:eastAsia="zh-CN"/>
        </w:rPr>
        <w:t>校</w:t>
      </w:r>
      <w:r>
        <w:rPr>
          <w:rFonts w:hint="eastAsia" w:ascii="宋体" w:hAnsi="宋体"/>
          <w:color w:val="auto"/>
          <w:sz w:val="28"/>
          <w:szCs w:val="28"/>
        </w:rPr>
        <w:t>不一定接受最低价</w:t>
      </w:r>
      <w:r>
        <w:rPr>
          <w:rFonts w:hint="eastAsia" w:ascii="宋体" w:hAnsi="宋体"/>
          <w:color w:val="auto"/>
          <w:sz w:val="28"/>
          <w:szCs w:val="28"/>
          <w:lang w:eastAsia="zh-CN"/>
        </w:rPr>
        <w:t>响应，</w:t>
      </w:r>
      <w:r>
        <w:rPr>
          <w:rFonts w:hint="eastAsia" w:ascii="宋体" w:hAnsi="宋体"/>
          <w:color w:val="auto"/>
          <w:sz w:val="28"/>
          <w:szCs w:val="28"/>
        </w:rPr>
        <w:t>贵</w:t>
      </w:r>
      <w:r>
        <w:rPr>
          <w:rFonts w:hint="eastAsia" w:ascii="宋体" w:hAnsi="宋体"/>
          <w:color w:val="auto"/>
          <w:sz w:val="28"/>
          <w:szCs w:val="28"/>
          <w:lang w:eastAsia="zh-CN"/>
        </w:rPr>
        <w:t>校</w:t>
      </w:r>
      <w:r>
        <w:rPr>
          <w:rFonts w:hint="eastAsia" w:ascii="宋体" w:hAnsi="宋体"/>
          <w:color w:val="auto"/>
          <w:sz w:val="28"/>
          <w:szCs w:val="28"/>
        </w:rPr>
        <w:t>不承担我方的任何</w:t>
      </w:r>
      <w:r>
        <w:rPr>
          <w:rFonts w:hint="eastAsia" w:ascii="宋体" w:hAnsi="宋体"/>
          <w:color w:val="auto"/>
          <w:sz w:val="28"/>
          <w:szCs w:val="28"/>
          <w:lang w:eastAsia="zh-CN"/>
        </w:rPr>
        <w:t>响应</w:t>
      </w:r>
      <w:r>
        <w:rPr>
          <w:rFonts w:hint="eastAsia" w:ascii="宋体" w:hAnsi="宋体"/>
          <w:color w:val="auto"/>
          <w:sz w:val="28"/>
          <w:szCs w:val="28"/>
        </w:rPr>
        <w:t>费用。</w:t>
      </w:r>
    </w:p>
    <w:p>
      <w:pPr>
        <w:spacing w:line="400" w:lineRule="exact"/>
        <w:ind w:left="1" w:firstLine="560" w:firstLineChars="200"/>
        <w:rPr>
          <w:rFonts w:ascii="宋体"/>
          <w:color w:val="auto"/>
          <w:sz w:val="28"/>
          <w:szCs w:val="28"/>
        </w:rPr>
      </w:pPr>
      <w:r>
        <w:rPr>
          <w:rFonts w:hint="eastAsia" w:ascii="宋体" w:hAnsi="宋体"/>
          <w:color w:val="auto"/>
          <w:sz w:val="28"/>
          <w:szCs w:val="28"/>
          <w:lang w:val="en-US" w:eastAsia="zh-CN"/>
        </w:rPr>
        <w:t>5.</w:t>
      </w:r>
      <w:r>
        <w:rPr>
          <w:rFonts w:hint="eastAsia" w:ascii="宋体" w:hAnsi="宋体"/>
          <w:color w:val="auto"/>
          <w:sz w:val="28"/>
          <w:szCs w:val="28"/>
        </w:rPr>
        <w:t>我方承诺在投标有效期内不修改、撤销</w:t>
      </w:r>
      <w:r>
        <w:rPr>
          <w:rFonts w:hint="eastAsia" w:ascii="宋体" w:hAnsi="宋体"/>
          <w:color w:val="auto"/>
          <w:sz w:val="28"/>
          <w:szCs w:val="28"/>
          <w:lang w:eastAsia="zh-CN"/>
        </w:rPr>
        <w:t>响应</w:t>
      </w:r>
      <w:r>
        <w:rPr>
          <w:rFonts w:hint="eastAsia" w:ascii="宋体" w:hAnsi="宋体"/>
          <w:color w:val="auto"/>
          <w:sz w:val="28"/>
          <w:szCs w:val="28"/>
        </w:rPr>
        <w:t>文件。如果我方在本</w:t>
      </w:r>
      <w:r>
        <w:rPr>
          <w:rFonts w:hint="eastAsia" w:ascii="宋体" w:hAnsi="宋体"/>
          <w:color w:val="auto"/>
          <w:sz w:val="28"/>
          <w:szCs w:val="28"/>
          <w:lang w:eastAsia="zh-CN"/>
        </w:rPr>
        <w:t>响应</w:t>
      </w:r>
      <w:r>
        <w:rPr>
          <w:rFonts w:hint="eastAsia" w:ascii="宋体" w:hAnsi="宋体"/>
          <w:color w:val="auto"/>
          <w:sz w:val="28"/>
          <w:szCs w:val="28"/>
        </w:rPr>
        <w:t>有效期内撤回</w:t>
      </w:r>
      <w:r>
        <w:rPr>
          <w:rFonts w:hint="eastAsia" w:ascii="宋体" w:hAnsi="宋体"/>
          <w:color w:val="auto"/>
          <w:sz w:val="28"/>
          <w:szCs w:val="28"/>
          <w:lang w:eastAsia="zh-CN"/>
        </w:rPr>
        <w:t>响应</w:t>
      </w:r>
      <w:r>
        <w:rPr>
          <w:rFonts w:hint="eastAsia" w:ascii="宋体" w:hAnsi="宋体"/>
          <w:color w:val="auto"/>
          <w:sz w:val="28"/>
          <w:szCs w:val="28"/>
        </w:rPr>
        <w:t>文件；或在接到中标通知书后未能提交</w:t>
      </w:r>
      <w:r>
        <w:rPr>
          <w:rFonts w:hint="eastAsia" w:ascii="宋体" w:hAnsi="宋体"/>
          <w:color w:val="auto"/>
          <w:sz w:val="28"/>
          <w:szCs w:val="28"/>
          <w:lang w:eastAsia="zh-CN"/>
        </w:rPr>
        <w:t>履约保证金</w:t>
      </w:r>
      <w:r>
        <w:rPr>
          <w:rFonts w:hint="eastAsia" w:ascii="宋体" w:hAnsi="宋体"/>
          <w:color w:val="auto"/>
          <w:sz w:val="28"/>
          <w:szCs w:val="28"/>
        </w:rPr>
        <w:t>；或者拒绝签订合同协议书；或以资金、技术、工期等非正当理由放弃中标；或变更主要负责人，贵</w:t>
      </w:r>
      <w:r>
        <w:rPr>
          <w:rFonts w:hint="eastAsia" w:ascii="宋体" w:hAnsi="宋体"/>
          <w:color w:val="auto"/>
          <w:sz w:val="28"/>
          <w:szCs w:val="28"/>
          <w:lang w:eastAsia="zh-CN"/>
        </w:rPr>
        <w:t>校</w:t>
      </w:r>
      <w:r>
        <w:rPr>
          <w:rFonts w:hint="eastAsia" w:ascii="宋体" w:hAnsi="宋体"/>
          <w:color w:val="auto"/>
          <w:sz w:val="28"/>
          <w:szCs w:val="28"/>
        </w:rPr>
        <w:t>有权没收</w:t>
      </w:r>
      <w:r>
        <w:rPr>
          <w:rFonts w:hint="eastAsia" w:ascii="宋体" w:hAnsi="宋体"/>
          <w:color w:val="auto"/>
          <w:sz w:val="28"/>
          <w:szCs w:val="28"/>
          <w:lang w:eastAsia="zh-CN"/>
        </w:rPr>
        <w:t>履约</w:t>
      </w:r>
      <w:r>
        <w:rPr>
          <w:rFonts w:hint="eastAsia" w:ascii="宋体" w:hAnsi="宋体"/>
          <w:color w:val="auto"/>
          <w:sz w:val="28"/>
          <w:szCs w:val="28"/>
        </w:rPr>
        <w:t>保证金，且另外确定中标人。</w:t>
      </w:r>
    </w:p>
    <w:p>
      <w:pPr>
        <w:spacing w:line="400" w:lineRule="exact"/>
        <w:ind w:firstLine="980" w:firstLineChars="350"/>
        <w:rPr>
          <w:rFonts w:ascii="宋体"/>
          <w:color w:val="auto"/>
          <w:sz w:val="28"/>
          <w:szCs w:val="28"/>
        </w:rPr>
      </w:pPr>
      <w:r>
        <w:rPr>
          <w:rFonts w:hint="eastAsia" w:ascii="宋体" w:hAnsi="宋体"/>
          <w:color w:val="auto"/>
          <w:sz w:val="28"/>
          <w:szCs w:val="28"/>
        </w:rPr>
        <w:t>投</w:t>
      </w:r>
      <w:r>
        <w:rPr>
          <w:rFonts w:ascii="宋体" w:hAnsi="宋体"/>
          <w:color w:val="auto"/>
          <w:sz w:val="28"/>
          <w:szCs w:val="28"/>
        </w:rPr>
        <w:t xml:space="preserve"> </w:t>
      </w:r>
      <w:r>
        <w:rPr>
          <w:rFonts w:hint="eastAsia" w:ascii="宋体" w:hAnsi="宋体"/>
          <w:color w:val="auto"/>
          <w:sz w:val="28"/>
          <w:szCs w:val="28"/>
        </w:rPr>
        <w:t>标人：（盖单位章）</w:t>
      </w:r>
    </w:p>
    <w:p>
      <w:pPr>
        <w:spacing w:line="400" w:lineRule="exact"/>
        <w:rPr>
          <w:rFonts w:ascii="宋体"/>
          <w:color w:val="auto"/>
          <w:sz w:val="28"/>
          <w:szCs w:val="28"/>
        </w:rPr>
      </w:pPr>
      <w:r>
        <w:rPr>
          <w:rFonts w:ascii="宋体" w:hAnsi="宋体"/>
          <w:color w:val="auto"/>
          <w:sz w:val="28"/>
          <w:szCs w:val="28"/>
        </w:rPr>
        <w:t xml:space="preserve">       </w:t>
      </w:r>
      <w:r>
        <w:rPr>
          <w:rFonts w:hint="eastAsia" w:ascii="宋体" w:hAnsi="宋体"/>
          <w:color w:val="auto"/>
          <w:sz w:val="28"/>
          <w:szCs w:val="28"/>
        </w:rPr>
        <w:t>法定代表人或其委托代理人：（签字）</w:t>
      </w:r>
    </w:p>
    <w:p>
      <w:pPr>
        <w:spacing w:line="400" w:lineRule="exact"/>
        <w:rPr>
          <w:rFonts w:ascii="宋体"/>
          <w:color w:val="auto"/>
          <w:sz w:val="28"/>
          <w:szCs w:val="28"/>
        </w:rPr>
      </w:pPr>
      <w:r>
        <w:rPr>
          <w:rFonts w:ascii="宋体" w:hAnsi="宋体"/>
          <w:color w:val="auto"/>
          <w:sz w:val="28"/>
          <w:szCs w:val="28"/>
        </w:rPr>
        <w:t xml:space="preserve">       </w:t>
      </w:r>
      <w:r>
        <w:rPr>
          <w:rFonts w:hint="eastAsia" w:ascii="宋体" w:hAnsi="宋体"/>
          <w:color w:val="auto"/>
          <w:sz w:val="28"/>
          <w:szCs w:val="28"/>
        </w:rPr>
        <w:t>地</w:t>
      </w:r>
      <w:r>
        <w:rPr>
          <w:rFonts w:ascii="宋体" w:hAnsi="宋体"/>
          <w:color w:val="auto"/>
          <w:sz w:val="28"/>
          <w:szCs w:val="28"/>
        </w:rPr>
        <w:t xml:space="preserve">    </w:t>
      </w:r>
      <w:r>
        <w:rPr>
          <w:rFonts w:hint="eastAsia" w:ascii="宋体" w:hAnsi="宋体"/>
          <w:color w:val="auto"/>
          <w:sz w:val="28"/>
          <w:szCs w:val="28"/>
        </w:rPr>
        <w:t>址</w:t>
      </w:r>
      <w:r>
        <w:rPr>
          <w:rFonts w:ascii="宋体" w:hAnsi="宋体"/>
          <w:color w:val="auto"/>
          <w:sz w:val="28"/>
          <w:szCs w:val="28"/>
        </w:rPr>
        <w:t xml:space="preserve">: </w:t>
      </w:r>
    </w:p>
    <w:p>
      <w:pPr>
        <w:tabs>
          <w:tab w:val="left" w:pos="2925"/>
        </w:tabs>
        <w:spacing w:line="400" w:lineRule="exact"/>
        <w:ind w:firstLine="980" w:firstLineChars="350"/>
        <w:rPr>
          <w:rFonts w:ascii="宋体"/>
          <w:color w:val="auto"/>
          <w:sz w:val="28"/>
          <w:szCs w:val="28"/>
          <w:u w:val="single"/>
        </w:rPr>
      </w:pPr>
      <w:r>
        <w:rPr>
          <w:rFonts w:hint="eastAsia" w:ascii="宋体" w:hAnsi="宋体"/>
          <w:color w:val="auto"/>
          <w:sz w:val="28"/>
          <w:szCs w:val="28"/>
        </w:rPr>
        <w:t>电</w:t>
      </w:r>
      <w:r>
        <w:rPr>
          <w:rFonts w:ascii="宋体" w:hAnsi="宋体"/>
          <w:color w:val="auto"/>
          <w:sz w:val="28"/>
          <w:szCs w:val="28"/>
        </w:rPr>
        <w:t xml:space="preserve">    </w:t>
      </w:r>
      <w:r>
        <w:rPr>
          <w:rFonts w:hint="eastAsia" w:ascii="宋体" w:hAnsi="宋体"/>
          <w:color w:val="auto"/>
          <w:sz w:val="28"/>
          <w:szCs w:val="28"/>
        </w:rPr>
        <w:t>话</w:t>
      </w:r>
      <w:r>
        <w:rPr>
          <w:rFonts w:ascii="宋体" w:hAnsi="宋体"/>
          <w:color w:val="auto"/>
          <w:sz w:val="28"/>
          <w:szCs w:val="28"/>
        </w:rPr>
        <w:t xml:space="preserve">: </w:t>
      </w:r>
    </w:p>
    <w:p>
      <w:pPr>
        <w:tabs>
          <w:tab w:val="left" w:pos="2925"/>
        </w:tabs>
        <w:spacing w:line="400" w:lineRule="exact"/>
        <w:ind w:firstLine="980" w:firstLineChars="350"/>
        <w:rPr>
          <w:rFonts w:ascii="宋体"/>
          <w:color w:val="auto"/>
          <w:sz w:val="28"/>
          <w:szCs w:val="28"/>
          <w:u w:val="single"/>
        </w:rPr>
      </w:pPr>
      <w:r>
        <w:rPr>
          <w:rFonts w:hint="eastAsia" w:ascii="宋体" w:hAnsi="宋体"/>
          <w:color w:val="auto"/>
          <w:sz w:val="28"/>
          <w:szCs w:val="28"/>
        </w:rPr>
        <w:t>传</w:t>
      </w:r>
      <w:r>
        <w:rPr>
          <w:rFonts w:ascii="宋体" w:hAnsi="宋体"/>
          <w:color w:val="auto"/>
          <w:sz w:val="28"/>
          <w:szCs w:val="28"/>
        </w:rPr>
        <w:t xml:space="preserve">    </w:t>
      </w:r>
      <w:r>
        <w:rPr>
          <w:rFonts w:hint="eastAsia" w:ascii="宋体" w:hAnsi="宋体"/>
          <w:color w:val="auto"/>
          <w:sz w:val="28"/>
          <w:szCs w:val="28"/>
        </w:rPr>
        <w:t>真：</w:t>
      </w:r>
    </w:p>
    <w:p>
      <w:pPr>
        <w:tabs>
          <w:tab w:val="left" w:pos="2925"/>
        </w:tabs>
        <w:spacing w:line="400" w:lineRule="exact"/>
        <w:ind w:firstLine="980" w:firstLineChars="350"/>
        <w:rPr>
          <w:rFonts w:ascii="宋体"/>
          <w:color w:val="auto"/>
          <w:sz w:val="28"/>
          <w:szCs w:val="28"/>
          <w:u w:val="single"/>
        </w:rPr>
      </w:pPr>
      <w:r>
        <w:rPr>
          <w:rFonts w:hint="eastAsia" w:ascii="宋体" w:hAnsi="宋体"/>
          <w:color w:val="auto"/>
          <w:sz w:val="28"/>
          <w:szCs w:val="28"/>
        </w:rPr>
        <w:t>邮政编码：</w:t>
      </w:r>
    </w:p>
    <w:p>
      <w:pPr>
        <w:tabs>
          <w:tab w:val="left" w:pos="2865"/>
        </w:tabs>
        <w:spacing w:line="400" w:lineRule="exact"/>
        <w:ind w:firstLine="3780" w:firstLineChars="1350"/>
        <w:rPr>
          <w:rFonts w:ascii="宋体"/>
          <w:color w:val="auto"/>
          <w:sz w:val="28"/>
          <w:szCs w:val="28"/>
          <w:u w:val="single"/>
        </w:rPr>
      </w:pPr>
    </w:p>
    <w:p>
      <w:pPr>
        <w:tabs>
          <w:tab w:val="left" w:pos="2865"/>
        </w:tabs>
        <w:spacing w:line="400" w:lineRule="exact"/>
        <w:ind w:firstLine="6720" w:firstLineChars="2400"/>
        <w:rPr>
          <w:rFonts w:ascii="宋体"/>
          <w:color w:val="auto"/>
          <w:sz w:val="28"/>
          <w:szCs w:val="28"/>
        </w:rPr>
      </w:pPr>
      <w:r>
        <w:rPr>
          <w:rFonts w:hint="eastAsia" w:ascii="宋体" w:hAnsi="宋体"/>
          <w:color w:val="auto"/>
          <w:sz w:val="28"/>
          <w:szCs w:val="28"/>
        </w:rPr>
        <w:t>年</w:t>
      </w:r>
      <w:r>
        <w:rPr>
          <w:rFonts w:hint="eastAsia" w:ascii="宋体" w:hAnsi="宋体"/>
          <w:color w:val="auto"/>
          <w:sz w:val="28"/>
          <w:szCs w:val="28"/>
          <w:lang w:val="en-US" w:eastAsia="zh-CN"/>
        </w:rPr>
        <w:t xml:space="preserve">   </w:t>
      </w:r>
      <w:r>
        <w:rPr>
          <w:rFonts w:hint="eastAsia" w:ascii="宋体" w:hAnsi="宋体"/>
          <w:color w:val="auto"/>
          <w:sz w:val="28"/>
          <w:szCs w:val="28"/>
        </w:rPr>
        <w:t>月</w:t>
      </w:r>
      <w:r>
        <w:rPr>
          <w:rFonts w:hint="eastAsia" w:ascii="宋体" w:hAnsi="宋体"/>
          <w:color w:val="auto"/>
          <w:sz w:val="28"/>
          <w:szCs w:val="28"/>
          <w:lang w:val="en-US" w:eastAsia="zh-CN"/>
        </w:rPr>
        <w:t xml:space="preserve">   日</w:t>
      </w:r>
    </w:p>
    <w:p>
      <w:pPr>
        <w:rPr>
          <w:rFonts w:ascii="宋体"/>
          <w:color w:val="auto"/>
          <w:szCs w:val="21"/>
        </w:rPr>
      </w:pPr>
    </w:p>
    <w:p>
      <w:pPr>
        <w:rPr>
          <w:rFonts w:ascii="宋体"/>
          <w:color w:val="auto"/>
          <w:szCs w:val="21"/>
        </w:rPr>
      </w:pPr>
    </w:p>
    <w:p>
      <w:pPr>
        <w:rPr>
          <w:rFonts w:ascii="宋体"/>
          <w:color w:val="auto"/>
          <w:szCs w:val="21"/>
        </w:rPr>
      </w:pPr>
    </w:p>
    <w:p>
      <w:pPr>
        <w:rPr>
          <w:rFonts w:ascii="宋体"/>
          <w:color w:val="auto"/>
          <w:szCs w:val="21"/>
        </w:rPr>
      </w:pPr>
    </w:p>
    <w:p>
      <w:pPr>
        <w:rPr>
          <w:rFonts w:ascii="宋体"/>
          <w:color w:val="auto"/>
          <w:szCs w:val="21"/>
        </w:rPr>
      </w:pPr>
    </w:p>
    <w:p>
      <w:pPr>
        <w:pStyle w:val="6"/>
        <w:spacing w:line="440" w:lineRule="exact"/>
        <w:jc w:val="left"/>
        <w:rPr>
          <w:rFonts w:ascii="黑体" w:hAnsi="宋体" w:eastAsia="黑体"/>
          <w:b/>
          <w:color w:val="auto"/>
          <w:sz w:val="28"/>
          <w:szCs w:val="28"/>
        </w:rPr>
      </w:pPr>
      <w:bookmarkStart w:id="2" w:name="_Toc321987460"/>
      <w:bookmarkStart w:id="3" w:name="_Toc322032965"/>
      <w:r>
        <w:rPr>
          <w:rFonts w:hint="eastAsia" w:ascii="黑体" w:hAnsi="宋体" w:eastAsia="黑体"/>
          <w:b/>
          <w:color w:val="auto"/>
          <w:sz w:val="28"/>
          <w:szCs w:val="28"/>
        </w:rPr>
        <w:t>附件</w:t>
      </w:r>
      <w:r>
        <w:rPr>
          <w:rFonts w:ascii="黑体" w:hAnsi="宋体" w:eastAsia="黑体"/>
          <w:b/>
          <w:color w:val="auto"/>
          <w:sz w:val="28"/>
          <w:szCs w:val="28"/>
        </w:rPr>
        <w:t>2</w:t>
      </w:r>
      <w:r>
        <w:rPr>
          <w:rFonts w:hint="eastAsia" w:ascii="黑体" w:hAnsi="宋体" w:eastAsia="黑体"/>
          <w:b/>
          <w:color w:val="auto"/>
          <w:sz w:val="28"/>
          <w:szCs w:val="28"/>
        </w:rPr>
        <w:t>：</w:t>
      </w:r>
      <w:r>
        <w:rPr>
          <w:rFonts w:ascii="黑体" w:hAnsi="宋体" w:eastAsia="黑体"/>
          <w:b/>
          <w:color w:val="auto"/>
          <w:sz w:val="28"/>
          <w:szCs w:val="28"/>
        </w:rPr>
        <w:t xml:space="preserve">     </w:t>
      </w:r>
    </w:p>
    <w:p>
      <w:pPr>
        <w:pStyle w:val="6"/>
        <w:spacing w:line="440" w:lineRule="exact"/>
        <w:jc w:val="center"/>
        <w:rPr>
          <w:rFonts w:ascii="黑体" w:hAnsi="宋体" w:eastAsia="黑体"/>
          <w:b/>
          <w:color w:val="auto"/>
          <w:sz w:val="28"/>
          <w:szCs w:val="28"/>
        </w:rPr>
      </w:pPr>
      <w:r>
        <w:rPr>
          <w:rFonts w:ascii="黑体" w:hAnsi="宋体" w:eastAsia="黑体"/>
          <w:b/>
          <w:color w:val="auto"/>
          <w:sz w:val="28"/>
          <w:szCs w:val="28"/>
        </w:rPr>
        <w:t xml:space="preserve"> </w:t>
      </w:r>
      <w:r>
        <w:rPr>
          <w:rFonts w:hint="eastAsia" w:ascii="黑体" w:hAnsi="宋体" w:eastAsia="黑体"/>
          <w:b/>
          <w:color w:val="auto"/>
          <w:sz w:val="28"/>
          <w:szCs w:val="28"/>
        </w:rPr>
        <w:t>二、</w:t>
      </w:r>
      <w:r>
        <w:rPr>
          <w:rFonts w:hint="eastAsia" w:ascii="黑体" w:hAnsi="宋体" w:eastAsia="黑体"/>
          <w:b/>
          <w:color w:val="auto"/>
          <w:sz w:val="28"/>
          <w:szCs w:val="28"/>
          <w:lang w:eastAsia="zh-CN"/>
        </w:rPr>
        <w:t>响应</w:t>
      </w:r>
      <w:r>
        <w:rPr>
          <w:rFonts w:hint="eastAsia" w:ascii="黑体" w:hAnsi="宋体" w:eastAsia="黑体"/>
          <w:b/>
          <w:color w:val="auto"/>
          <w:sz w:val="28"/>
          <w:szCs w:val="28"/>
        </w:rPr>
        <w:t>文件真实性的声明</w:t>
      </w:r>
      <w:bookmarkEnd w:id="2"/>
      <w:bookmarkEnd w:id="3"/>
    </w:p>
    <w:p>
      <w:pPr>
        <w:spacing w:line="440" w:lineRule="exact"/>
        <w:rPr>
          <w:rFonts w:ascii="宋体"/>
          <w:color w:val="auto"/>
          <w:sz w:val="24"/>
          <w:u w:val="single"/>
        </w:rPr>
      </w:pPr>
    </w:p>
    <w:p>
      <w:pPr>
        <w:spacing w:line="440" w:lineRule="exact"/>
        <w:rPr>
          <w:rFonts w:ascii="宋体"/>
          <w:color w:val="auto"/>
          <w:sz w:val="28"/>
          <w:szCs w:val="28"/>
        </w:rPr>
      </w:pPr>
      <w:r>
        <w:rPr>
          <w:rFonts w:hint="eastAsia" w:ascii="宋体" w:hAnsi="宋体"/>
          <w:color w:val="auto"/>
          <w:sz w:val="28"/>
          <w:szCs w:val="28"/>
        </w:rPr>
        <w:t>（招标人名称）：</w:t>
      </w:r>
    </w:p>
    <w:p>
      <w:pPr>
        <w:spacing w:line="440" w:lineRule="exact"/>
        <w:rPr>
          <w:rFonts w:ascii="宋体"/>
          <w:color w:val="auto"/>
          <w:sz w:val="28"/>
          <w:szCs w:val="28"/>
        </w:rPr>
      </w:pPr>
      <w:r>
        <w:rPr>
          <w:rFonts w:ascii="宋体" w:hAnsi="宋体"/>
          <w:color w:val="auto"/>
          <w:sz w:val="28"/>
          <w:szCs w:val="28"/>
        </w:rPr>
        <w:t xml:space="preserve">    </w:t>
      </w:r>
      <w:r>
        <w:rPr>
          <w:rFonts w:hint="eastAsia" w:ascii="宋体" w:hAnsi="宋体"/>
          <w:color w:val="auto"/>
          <w:sz w:val="28"/>
          <w:szCs w:val="28"/>
        </w:rPr>
        <w:t>我方在此声明，所递交的</w:t>
      </w:r>
      <w:r>
        <w:rPr>
          <w:rFonts w:hint="eastAsia" w:ascii="宋体" w:hAnsi="宋体"/>
          <w:color w:val="auto"/>
          <w:sz w:val="28"/>
          <w:szCs w:val="28"/>
          <w:lang w:eastAsia="zh-CN"/>
        </w:rPr>
        <w:t>响应</w:t>
      </w:r>
      <w:r>
        <w:rPr>
          <w:rFonts w:hint="eastAsia" w:ascii="宋体" w:hAnsi="宋体"/>
          <w:color w:val="auto"/>
          <w:sz w:val="28"/>
          <w:szCs w:val="28"/>
        </w:rPr>
        <w:t>文件（包括有关资料）真实可信，不存在虚假（包括隐瞒）。</w:t>
      </w:r>
    </w:p>
    <w:p>
      <w:pPr>
        <w:spacing w:line="440" w:lineRule="exact"/>
        <w:rPr>
          <w:rFonts w:ascii="宋体"/>
          <w:color w:val="auto"/>
          <w:sz w:val="28"/>
          <w:szCs w:val="28"/>
        </w:rPr>
      </w:pPr>
      <w:r>
        <w:rPr>
          <w:rFonts w:ascii="宋体" w:hAnsi="宋体"/>
          <w:color w:val="auto"/>
          <w:sz w:val="28"/>
          <w:szCs w:val="28"/>
        </w:rPr>
        <w:t xml:space="preserve">    </w:t>
      </w:r>
      <w:r>
        <w:rPr>
          <w:rFonts w:hint="eastAsia" w:ascii="宋体" w:hAnsi="宋体"/>
          <w:color w:val="auto"/>
          <w:sz w:val="28"/>
          <w:szCs w:val="28"/>
        </w:rPr>
        <w:t>我方承诺，如存在以上虚假</w:t>
      </w:r>
      <w:r>
        <w:rPr>
          <w:rFonts w:hint="eastAsia" w:ascii="宋体" w:hAnsi="宋体"/>
          <w:color w:val="auto"/>
          <w:sz w:val="28"/>
          <w:szCs w:val="28"/>
          <w:lang w:eastAsia="zh-CN"/>
        </w:rPr>
        <w:t>响应</w:t>
      </w:r>
      <w:r>
        <w:rPr>
          <w:rFonts w:hint="eastAsia" w:ascii="宋体" w:hAnsi="宋体"/>
          <w:color w:val="auto"/>
          <w:sz w:val="28"/>
          <w:szCs w:val="28"/>
        </w:rPr>
        <w:t>行为，我方自愿按有关规定承担责任。</w:t>
      </w:r>
    </w:p>
    <w:p>
      <w:pPr>
        <w:spacing w:line="440" w:lineRule="exact"/>
        <w:rPr>
          <w:rFonts w:ascii="宋体"/>
          <w:color w:val="auto"/>
          <w:sz w:val="28"/>
          <w:szCs w:val="28"/>
        </w:rPr>
      </w:pPr>
    </w:p>
    <w:p>
      <w:pPr>
        <w:spacing w:line="440" w:lineRule="exact"/>
        <w:rPr>
          <w:rFonts w:ascii="宋体"/>
          <w:color w:val="auto"/>
          <w:sz w:val="28"/>
          <w:szCs w:val="28"/>
        </w:rPr>
      </w:pPr>
      <w:r>
        <w:rPr>
          <w:rFonts w:ascii="宋体" w:hAnsi="宋体"/>
          <w:color w:val="auto"/>
          <w:sz w:val="28"/>
          <w:szCs w:val="28"/>
        </w:rPr>
        <w:t xml:space="preserve">     </w:t>
      </w:r>
      <w:r>
        <w:rPr>
          <w:rFonts w:hint="eastAsia" w:ascii="宋体" w:hAnsi="宋体"/>
          <w:color w:val="auto"/>
          <w:sz w:val="28"/>
          <w:szCs w:val="28"/>
          <w:lang w:eastAsia="zh-CN"/>
        </w:rPr>
        <w:t>响</w:t>
      </w:r>
      <w:r>
        <w:rPr>
          <w:rFonts w:hint="eastAsia" w:ascii="宋体" w:hAnsi="宋体"/>
          <w:color w:val="auto"/>
          <w:sz w:val="28"/>
          <w:szCs w:val="28"/>
          <w:lang w:val="en-US" w:eastAsia="zh-CN"/>
        </w:rPr>
        <w:t xml:space="preserve">  </w:t>
      </w:r>
      <w:r>
        <w:rPr>
          <w:rFonts w:hint="eastAsia" w:ascii="宋体" w:hAnsi="宋体"/>
          <w:color w:val="auto"/>
          <w:sz w:val="28"/>
          <w:szCs w:val="28"/>
          <w:lang w:eastAsia="zh-CN"/>
        </w:rPr>
        <w:t>应</w:t>
      </w:r>
      <w:r>
        <w:rPr>
          <w:rFonts w:ascii="宋体" w:hAnsi="宋体"/>
          <w:color w:val="auto"/>
          <w:sz w:val="28"/>
          <w:szCs w:val="28"/>
        </w:rPr>
        <w:t xml:space="preserve"> </w:t>
      </w:r>
      <w:r>
        <w:rPr>
          <w:rFonts w:hint="eastAsia" w:ascii="宋体" w:hAnsi="宋体"/>
          <w:color w:val="auto"/>
          <w:sz w:val="28"/>
          <w:szCs w:val="28"/>
        </w:rPr>
        <w:t>人：（盖单位章）</w:t>
      </w:r>
    </w:p>
    <w:p>
      <w:pPr>
        <w:spacing w:line="440" w:lineRule="exact"/>
        <w:rPr>
          <w:rFonts w:ascii="宋体"/>
          <w:color w:val="auto"/>
          <w:sz w:val="28"/>
          <w:szCs w:val="28"/>
        </w:rPr>
      </w:pPr>
    </w:p>
    <w:p>
      <w:pPr>
        <w:spacing w:line="440" w:lineRule="exact"/>
        <w:rPr>
          <w:rFonts w:ascii="宋体"/>
          <w:color w:val="auto"/>
          <w:sz w:val="28"/>
          <w:szCs w:val="28"/>
        </w:rPr>
      </w:pPr>
      <w:r>
        <w:rPr>
          <w:rFonts w:ascii="宋体" w:hAnsi="宋体"/>
          <w:color w:val="auto"/>
          <w:sz w:val="28"/>
          <w:szCs w:val="28"/>
        </w:rPr>
        <w:t xml:space="preserve">     </w:t>
      </w:r>
      <w:r>
        <w:rPr>
          <w:rFonts w:hint="eastAsia" w:ascii="宋体" w:hAnsi="宋体"/>
          <w:color w:val="auto"/>
          <w:sz w:val="28"/>
          <w:szCs w:val="28"/>
        </w:rPr>
        <w:t>法定代表人或其委托代理人：（签字）</w:t>
      </w:r>
    </w:p>
    <w:p>
      <w:pPr>
        <w:spacing w:line="440" w:lineRule="exact"/>
        <w:rPr>
          <w:rFonts w:ascii="宋体"/>
          <w:color w:val="auto"/>
          <w:sz w:val="28"/>
          <w:szCs w:val="28"/>
        </w:rPr>
      </w:pPr>
    </w:p>
    <w:p>
      <w:pPr>
        <w:spacing w:line="440" w:lineRule="exact"/>
        <w:ind w:firstLine="7280" w:firstLineChars="2600"/>
        <w:rPr>
          <w:rFonts w:ascii="宋体" w:hAnsi="宋体"/>
          <w:color w:val="auto"/>
          <w:sz w:val="28"/>
          <w:szCs w:val="28"/>
        </w:rPr>
      </w:pPr>
      <w:r>
        <w:rPr>
          <w:rFonts w:hint="eastAsia" w:ascii="宋体" w:hAnsi="宋体"/>
          <w:color w:val="auto"/>
          <w:sz w:val="28"/>
          <w:szCs w:val="28"/>
        </w:rPr>
        <w:t xml:space="preserve">年  </w:t>
      </w:r>
      <w:r>
        <w:rPr>
          <w:rFonts w:hint="eastAsia" w:ascii="宋体" w:hAnsi="宋体"/>
          <w:color w:val="auto"/>
          <w:sz w:val="28"/>
          <w:szCs w:val="28"/>
          <w:lang w:val="en-US" w:eastAsia="zh-CN"/>
        </w:rPr>
        <w:t xml:space="preserve"> </w:t>
      </w:r>
      <w:r>
        <w:rPr>
          <w:rFonts w:hint="eastAsia" w:ascii="宋体" w:hAnsi="宋体"/>
          <w:color w:val="auto"/>
          <w:sz w:val="28"/>
          <w:szCs w:val="28"/>
        </w:rPr>
        <w:t>月   日</w:t>
      </w:r>
    </w:p>
    <w:p>
      <w:pPr>
        <w:spacing w:line="440" w:lineRule="exact"/>
        <w:rPr>
          <w:rFonts w:ascii="宋体" w:hAnsi="宋体"/>
          <w:color w:val="auto"/>
          <w:sz w:val="24"/>
        </w:rPr>
      </w:pPr>
    </w:p>
    <w:p>
      <w:pPr>
        <w:spacing w:line="440" w:lineRule="exact"/>
        <w:rPr>
          <w:rFonts w:ascii="宋体" w:hAnsi="宋体"/>
          <w:color w:val="auto"/>
          <w:sz w:val="24"/>
        </w:rPr>
      </w:pPr>
    </w:p>
    <w:p>
      <w:pPr>
        <w:spacing w:line="440" w:lineRule="exact"/>
        <w:rPr>
          <w:rFonts w:ascii="仿宋" w:hAnsi="仿宋" w:eastAsia="仿宋" w:cs="宋体"/>
          <w:color w:val="auto"/>
          <w:sz w:val="28"/>
          <w:szCs w:val="28"/>
        </w:rPr>
      </w:pPr>
    </w:p>
    <w:p>
      <w:pPr>
        <w:spacing w:line="440" w:lineRule="exact"/>
        <w:rPr>
          <w:rFonts w:ascii="仿宋" w:hAnsi="仿宋" w:eastAsia="仿宋" w:cs="宋体"/>
          <w:color w:val="auto"/>
          <w:sz w:val="28"/>
          <w:szCs w:val="28"/>
        </w:rPr>
      </w:pPr>
    </w:p>
    <w:p>
      <w:pPr>
        <w:spacing w:line="440" w:lineRule="exact"/>
        <w:rPr>
          <w:rFonts w:ascii="仿宋" w:hAnsi="仿宋" w:eastAsia="仿宋" w:cs="宋体"/>
          <w:color w:val="auto"/>
          <w:sz w:val="28"/>
          <w:szCs w:val="28"/>
        </w:rPr>
      </w:pPr>
    </w:p>
    <w:p>
      <w:pPr>
        <w:spacing w:line="440" w:lineRule="exact"/>
        <w:rPr>
          <w:rFonts w:ascii="仿宋" w:hAnsi="仿宋" w:eastAsia="仿宋" w:cs="宋体"/>
          <w:color w:val="auto"/>
          <w:sz w:val="28"/>
          <w:szCs w:val="28"/>
        </w:rPr>
      </w:pPr>
    </w:p>
    <w:p>
      <w:pPr>
        <w:spacing w:line="440" w:lineRule="exact"/>
        <w:rPr>
          <w:rFonts w:ascii="仿宋" w:hAnsi="仿宋" w:eastAsia="仿宋" w:cs="宋体"/>
          <w:color w:val="auto"/>
          <w:sz w:val="28"/>
          <w:szCs w:val="28"/>
        </w:rPr>
      </w:pPr>
    </w:p>
    <w:p>
      <w:pPr>
        <w:spacing w:line="440" w:lineRule="exact"/>
        <w:rPr>
          <w:rFonts w:ascii="仿宋" w:hAnsi="仿宋" w:eastAsia="仿宋" w:cs="宋体"/>
          <w:color w:val="auto"/>
          <w:sz w:val="28"/>
          <w:szCs w:val="28"/>
        </w:rPr>
      </w:pPr>
    </w:p>
    <w:p>
      <w:pPr>
        <w:spacing w:line="440" w:lineRule="exact"/>
        <w:rPr>
          <w:rFonts w:ascii="仿宋" w:hAnsi="仿宋" w:eastAsia="仿宋" w:cs="宋体"/>
          <w:color w:val="auto"/>
          <w:sz w:val="28"/>
          <w:szCs w:val="28"/>
        </w:rPr>
      </w:pPr>
    </w:p>
    <w:p>
      <w:pPr>
        <w:spacing w:line="440" w:lineRule="exact"/>
        <w:rPr>
          <w:rFonts w:ascii="仿宋" w:hAnsi="仿宋" w:eastAsia="仿宋" w:cs="宋体"/>
          <w:color w:val="auto"/>
          <w:sz w:val="28"/>
          <w:szCs w:val="28"/>
        </w:rPr>
      </w:pPr>
    </w:p>
    <w:p>
      <w:pPr>
        <w:spacing w:line="440" w:lineRule="exact"/>
        <w:rPr>
          <w:rFonts w:ascii="仿宋" w:hAnsi="仿宋" w:eastAsia="仿宋" w:cs="宋体"/>
          <w:color w:val="auto"/>
          <w:sz w:val="28"/>
          <w:szCs w:val="28"/>
        </w:rPr>
      </w:pPr>
    </w:p>
    <w:p>
      <w:pPr>
        <w:jc w:val="both"/>
        <w:rPr>
          <w:rFonts w:ascii="宋体"/>
          <w:color w:val="auto"/>
          <w:sz w:val="24"/>
        </w:rPr>
      </w:pPr>
    </w:p>
    <w:sectPr>
      <w:footerReference r:id="rId3" w:type="default"/>
      <w:pgSz w:w="11906" w:h="16838"/>
      <w:pgMar w:top="1417" w:right="1417" w:bottom="1417" w:left="141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A0F3C52"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0E524E"/>
    <w:multiLevelType w:val="singleLevel"/>
    <w:tmpl w:val="7A0E524E"/>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doNotTrackMoves/>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CA06E95"/>
    <w:rsid w:val="000425FC"/>
    <w:rsid w:val="00053BAB"/>
    <w:rsid w:val="00062FBB"/>
    <w:rsid w:val="00072E68"/>
    <w:rsid w:val="00092380"/>
    <w:rsid w:val="000C2902"/>
    <w:rsid w:val="000D5D47"/>
    <w:rsid w:val="000E56F5"/>
    <w:rsid w:val="000F39A4"/>
    <w:rsid w:val="00134335"/>
    <w:rsid w:val="00184AD8"/>
    <w:rsid w:val="00196461"/>
    <w:rsid w:val="00196F0A"/>
    <w:rsid w:val="001E3561"/>
    <w:rsid w:val="0021263B"/>
    <w:rsid w:val="0021671A"/>
    <w:rsid w:val="00223DC9"/>
    <w:rsid w:val="00225942"/>
    <w:rsid w:val="002504AA"/>
    <w:rsid w:val="00295BE1"/>
    <w:rsid w:val="002B168D"/>
    <w:rsid w:val="002B349C"/>
    <w:rsid w:val="002C2866"/>
    <w:rsid w:val="002C411E"/>
    <w:rsid w:val="00311608"/>
    <w:rsid w:val="0035374B"/>
    <w:rsid w:val="00361314"/>
    <w:rsid w:val="00392142"/>
    <w:rsid w:val="003B1280"/>
    <w:rsid w:val="003B4078"/>
    <w:rsid w:val="004017E7"/>
    <w:rsid w:val="00414427"/>
    <w:rsid w:val="00451964"/>
    <w:rsid w:val="00457509"/>
    <w:rsid w:val="004654AF"/>
    <w:rsid w:val="004703D9"/>
    <w:rsid w:val="004820AA"/>
    <w:rsid w:val="00493EE0"/>
    <w:rsid w:val="004B412F"/>
    <w:rsid w:val="004E3397"/>
    <w:rsid w:val="004F1B3B"/>
    <w:rsid w:val="00517647"/>
    <w:rsid w:val="00517F4B"/>
    <w:rsid w:val="00543383"/>
    <w:rsid w:val="00554B7D"/>
    <w:rsid w:val="005F6ABD"/>
    <w:rsid w:val="00605E4E"/>
    <w:rsid w:val="006243C7"/>
    <w:rsid w:val="006247A1"/>
    <w:rsid w:val="00630B3B"/>
    <w:rsid w:val="006708D4"/>
    <w:rsid w:val="0067547A"/>
    <w:rsid w:val="006F4103"/>
    <w:rsid w:val="007042D6"/>
    <w:rsid w:val="00722435"/>
    <w:rsid w:val="00726F23"/>
    <w:rsid w:val="00734AE2"/>
    <w:rsid w:val="00763B49"/>
    <w:rsid w:val="007E618D"/>
    <w:rsid w:val="00815009"/>
    <w:rsid w:val="00872598"/>
    <w:rsid w:val="008727B4"/>
    <w:rsid w:val="008946BB"/>
    <w:rsid w:val="008A34D7"/>
    <w:rsid w:val="008D197C"/>
    <w:rsid w:val="008D3682"/>
    <w:rsid w:val="008E4792"/>
    <w:rsid w:val="00914479"/>
    <w:rsid w:val="0094250C"/>
    <w:rsid w:val="00950311"/>
    <w:rsid w:val="00991F6C"/>
    <w:rsid w:val="009F3BDF"/>
    <w:rsid w:val="00A203E6"/>
    <w:rsid w:val="00A4037B"/>
    <w:rsid w:val="00A604D8"/>
    <w:rsid w:val="00A83E0C"/>
    <w:rsid w:val="00AD1A0E"/>
    <w:rsid w:val="00AD1DEA"/>
    <w:rsid w:val="00AF0197"/>
    <w:rsid w:val="00B02B53"/>
    <w:rsid w:val="00B30995"/>
    <w:rsid w:val="00B32397"/>
    <w:rsid w:val="00B656DC"/>
    <w:rsid w:val="00B72BCA"/>
    <w:rsid w:val="00BB547E"/>
    <w:rsid w:val="00BF0C70"/>
    <w:rsid w:val="00C00ED2"/>
    <w:rsid w:val="00C22D7E"/>
    <w:rsid w:val="00C23D5D"/>
    <w:rsid w:val="00C41134"/>
    <w:rsid w:val="00C45B60"/>
    <w:rsid w:val="00C6091D"/>
    <w:rsid w:val="00C630F1"/>
    <w:rsid w:val="00C84E1A"/>
    <w:rsid w:val="00C87D67"/>
    <w:rsid w:val="00C93285"/>
    <w:rsid w:val="00C95646"/>
    <w:rsid w:val="00CC37E3"/>
    <w:rsid w:val="00CE02BC"/>
    <w:rsid w:val="00CF2330"/>
    <w:rsid w:val="00D07F01"/>
    <w:rsid w:val="00D254E8"/>
    <w:rsid w:val="00D35B37"/>
    <w:rsid w:val="00DC179E"/>
    <w:rsid w:val="00E25DB0"/>
    <w:rsid w:val="00E43484"/>
    <w:rsid w:val="00E43789"/>
    <w:rsid w:val="00E56425"/>
    <w:rsid w:val="00E80C35"/>
    <w:rsid w:val="00E85823"/>
    <w:rsid w:val="00EB50F2"/>
    <w:rsid w:val="00ED0980"/>
    <w:rsid w:val="00ED604C"/>
    <w:rsid w:val="00F0374D"/>
    <w:rsid w:val="00F4579B"/>
    <w:rsid w:val="00F74764"/>
    <w:rsid w:val="00F839F0"/>
    <w:rsid w:val="00FA7807"/>
    <w:rsid w:val="00FE5D66"/>
    <w:rsid w:val="00FF0CF0"/>
    <w:rsid w:val="010444EB"/>
    <w:rsid w:val="011A6AEF"/>
    <w:rsid w:val="01865F91"/>
    <w:rsid w:val="01972B39"/>
    <w:rsid w:val="01C6666B"/>
    <w:rsid w:val="01CD34DC"/>
    <w:rsid w:val="01D806CB"/>
    <w:rsid w:val="020C1EAB"/>
    <w:rsid w:val="02224488"/>
    <w:rsid w:val="023905B3"/>
    <w:rsid w:val="023B74DE"/>
    <w:rsid w:val="02683705"/>
    <w:rsid w:val="02721036"/>
    <w:rsid w:val="02A0140A"/>
    <w:rsid w:val="02BC052C"/>
    <w:rsid w:val="02D0491B"/>
    <w:rsid w:val="02F556BF"/>
    <w:rsid w:val="03073DF3"/>
    <w:rsid w:val="030D0D42"/>
    <w:rsid w:val="031A63F5"/>
    <w:rsid w:val="032577CB"/>
    <w:rsid w:val="0326002D"/>
    <w:rsid w:val="03464427"/>
    <w:rsid w:val="034A3528"/>
    <w:rsid w:val="036351BB"/>
    <w:rsid w:val="03B34282"/>
    <w:rsid w:val="03BF576C"/>
    <w:rsid w:val="03D57CCC"/>
    <w:rsid w:val="03FF714A"/>
    <w:rsid w:val="042F6D97"/>
    <w:rsid w:val="044C60FA"/>
    <w:rsid w:val="0457193B"/>
    <w:rsid w:val="04853C80"/>
    <w:rsid w:val="04A8406B"/>
    <w:rsid w:val="04C1756D"/>
    <w:rsid w:val="04C63634"/>
    <w:rsid w:val="04CF3340"/>
    <w:rsid w:val="04DB3E0A"/>
    <w:rsid w:val="051150CE"/>
    <w:rsid w:val="055A32BE"/>
    <w:rsid w:val="05B256DE"/>
    <w:rsid w:val="05C63C55"/>
    <w:rsid w:val="05EB7208"/>
    <w:rsid w:val="05F24607"/>
    <w:rsid w:val="05F31D4A"/>
    <w:rsid w:val="05F340EB"/>
    <w:rsid w:val="061048D1"/>
    <w:rsid w:val="061B42BD"/>
    <w:rsid w:val="061C4BE5"/>
    <w:rsid w:val="0622273B"/>
    <w:rsid w:val="063F754F"/>
    <w:rsid w:val="064A5EA2"/>
    <w:rsid w:val="069B0112"/>
    <w:rsid w:val="06A26F6C"/>
    <w:rsid w:val="06A5098F"/>
    <w:rsid w:val="06EB6425"/>
    <w:rsid w:val="073D2791"/>
    <w:rsid w:val="074E541F"/>
    <w:rsid w:val="076976FD"/>
    <w:rsid w:val="077D0637"/>
    <w:rsid w:val="07973D8A"/>
    <w:rsid w:val="07D074CD"/>
    <w:rsid w:val="07D507FF"/>
    <w:rsid w:val="07D8715C"/>
    <w:rsid w:val="07F229B1"/>
    <w:rsid w:val="08031B10"/>
    <w:rsid w:val="08343ABA"/>
    <w:rsid w:val="084311B9"/>
    <w:rsid w:val="08AD3F44"/>
    <w:rsid w:val="08E82AB2"/>
    <w:rsid w:val="0911119B"/>
    <w:rsid w:val="092336E7"/>
    <w:rsid w:val="092B3BB4"/>
    <w:rsid w:val="093720D1"/>
    <w:rsid w:val="093D5ECF"/>
    <w:rsid w:val="095D0030"/>
    <w:rsid w:val="09694F58"/>
    <w:rsid w:val="09AC5C45"/>
    <w:rsid w:val="09B7222A"/>
    <w:rsid w:val="09C77836"/>
    <w:rsid w:val="09E659BB"/>
    <w:rsid w:val="09FD5294"/>
    <w:rsid w:val="0A027800"/>
    <w:rsid w:val="0A1334EE"/>
    <w:rsid w:val="0AA52592"/>
    <w:rsid w:val="0AAF6426"/>
    <w:rsid w:val="0B4F652F"/>
    <w:rsid w:val="0B5B63A6"/>
    <w:rsid w:val="0B941190"/>
    <w:rsid w:val="0B9806D3"/>
    <w:rsid w:val="0BC1111D"/>
    <w:rsid w:val="0BD537D3"/>
    <w:rsid w:val="0BE504B2"/>
    <w:rsid w:val="0BF06993"/>
    <w:rsid w:val="0C3204F4"/>
    <w:rsid w:val="0C412DC5"/>
    <w:rsid w:val="0C4F5207"/>
    <w:rsid w:val="0C61371D"/>
    <w:rsid w:val="0CAD64E5"/>
    <w:rsid w:val="0CDB0AEF"/>
    <w:rsid w:val="0CF4261D"/>
    <w:rsid w:val="0D1B500D"/>
    <w:rsid w:val="0D300CA8"/>
    <w:rsid w:val="0D33107D"/>
    <w:rsid w:val="0D472D5D"/>
    <w:rsid w:val="0DC07775"/>
    <w:rsid w:val="0DC85E1F"/>
    <w:rsid w:val="0E562BF3"/>
    <w:rsid w:val="0E8166D3"/>
    <w:rsid w:val="0E8E6058"/>
    <w:rsid w:val="0F357D5A"/>
    <w:rsid w:val="0F6A7AAE"/>
    <w:rsid w:val="0FA40DA9"/>
    <w:rsid w:val="0FD240A6"/>
    <w:rsid w:val="10282954"/>
    <w:rsid w:val="10737956"/>
    <w:rsid w:val="10E63523"/>
    <w:rsid w:val="10FF4ED8"/>
    <w:rsid w:val="11133DAE"/>
    <w:rsid w:val="11464C8E"/>
    <w:rsid w:val="114C7068"/>
    <w:rsid w:val="11811274"/>
    <w:rsid w:val="11836E1D"/>
    <w:rsid w:val="11880D68"/>
    <w:rsid w:val="11AC5DFC"/>
    <w:rsid w:val="11F02E32"/>
    <w:rsid w:val="121D121E"/>
    <w:rsid w:val="12212F9E"/>
    <w:rsid w:val="122B687F"/>
    <w:rsid w:val="12357FAC"/>
    <w:rsid w:val="124C68EB"/>
    <w:rsid w:val="12D300F3"/>
    <w:rsid w:val="12E91676"/>
    <w:rsid w:val="130B63DB"/>
    <w:rsid w:val="131564FD"/>
    <w:rsid w:val="1323321B"/>
    <w:rsid w:val="13486E6A"/>
    <w:rsid w:val="13DE6CA4"/>
    <w:rsid w:val="13E36B09"/>
    <w:rsid w:val="13F32F6D"/>
    <w:rsid w:val="13F77361"/>
    <w:rsid w:val="14570C10"/>
    <w:rsid w:val="14673251"/>
    <w:rsid w:val="14BD58BD"/>
    <w:rsid w:val="14FF5D61"/>
    <w:rsid w:val="150F36EF"/>
    <w:rsid w:val="15967EC2"/>
    <w:rsid w:val="15B76B83"/>
    <w:rsid w:val="15BA4AC9"/>
    <w:rsid w:val="15F428E2"/>
    <w:rsid w:val="166E57BE"/>
    <w:rsid w:val="16737CF1"/>
    <w:rsid w:val="168632A8"/>
    <w:rsid w:val="16920782"/>
    <w:rsid w:val="16A117D0"/>
    <w:rsid w:val="16EC0B5F"/>
    <w:rsid w:val="16EF5502"/>
    <w:rsid w:val="16FD579C"/>
    <w:rsid w:val="17187534"/>
    <w:rsid w:val="173E4DE9"/>
    <w:rsid w:val="17625A8D"/>
    <w:rsid w:val="177C1F59"/>
    <w:rsid w:val="17A074D0"/>
    <w:rsid w:val="17B065F1"/>
    <w:rsid w:val="17B1743A"/>
    <w:rsid w:val="17B23B9D"/>
    <w:rsid w:val="17CB3670"/>
    <w:rsid w:val="17DB4B5D"/>
    <w:rsid w:val="18074B1C"/>
    <w:rsid w:val="183961D1"/>
    <w:rsid w:val="18591693"/>
    <w:rsid w:val="185A632C"/>
    <w:rsid w:val="18777523"/>
    <w:rsid w:val="18882802"/>
    <w:rsid w:val="188F171D"/>
    <w:rsid w:val="18A72E7C"/>
    <w:rsid w:val="18AC09EF"/>
    <w:rsid w:val="18D27AF5"/>
    <w:rsid w:val="190575B6"/>
    <w:rsid w:val="190A19C3"/>
    <w:rsid w:val="190A288E"/>
    <w:rsid w:val="190E5062"/>
    <w:rsid w:val="1938685C"/>
    <w:rsid w:val="194D1482"/>
    <w:rsid w:val="19592928"/>
    <w:rsid w:val="199934CE"/>
    <w:rsid w:val="19C04FA5"/>
    <w:rsid w:val="19EF6D62"/>
    <w:rsid w:val="19F14110"/>
    <w:rsid w:val="19F75BCD"/>
    <w:rsid w:val="1A025462"/>
    <w:rsid w:val="1A3852A3"/>
    <w:rsid w:val="1A3967D9"/>
    <w:rsid w:val="1A875FE4"/>
    <w:rsid w:val="1AA220F0"/>
    <w:rsid w:val="1ABC75C0"/>
    <w:rsid w:val="1AC17AFF"/>
    <w:rsid w:val="1AFF7DFB"/>
    <w:rsid w:val="1B51677A"/>
    <w:rsid w:val="1B730E96"/>
    <w:rsid w:val="1B8C711B"/>
    <w:rsid w:val="1B9666AF"/>
    <w:rsid w:val="1B973B4A"/>
    <w:rsid w:val="1BCB36D7"/>
    <w:rsid w:val="1BCD7F66"/>
    <w:rsid w:val="1C18510F"/>
    <w:rsid w:val="1C40769D"/>
    <w:rsid w:val="1C473032"/>
    <w:rsid w:val="1C562A86"/>
    <w:rsid w:val="1C6942BC"/>
    <w:rsid w:val="1D0D66E9"/>
    <w:rsid w:val="1D182921"/>
    <w:rsid w:val="1D814A32"/>
    <w:rsid w:val="1D890812"/>
    <w:rsid w:val="1D94579F"/>
    <w:rsid w:val="1DD47E8E"/>
    <w:rsid w:val="1DE172FE"/>
    <w:rsid w:val="1DE710BE"/>
    <w:rsid w:val="1DF22D60"/>
    <w:rsid w:val="1E0B1F74"/>
    <w:rsid w:val="1E1832EF"/>
    <w:rsid w:val="1E332399"/>
    <w:rsid w:val="1E354945"/>
    <w:rsid w:val="1E3D7E02"/>
    <w:rsid w:val="1E8E3674"/>
    <w:rsid w:val="1EC27A26"/>
    <w:rsid w:val="1EC6651F"/>
    <w:rsid w:val="1ED313A2"/>
    <w:rsid w:val="1EEB3DB4"/>
    <w:rsid w:val="1EF74FA5"/>
    <w:rsid w:val="1F3114A6"/>
    <w:rsid w:val="1F807316"/>
    <w:rsid w:val="1F9F3260"/>
    <w:rsid w:val="1FA3525C"/>
    <w:rsid w:val="1FA544F8"/>
    <w:rsid w:val="1FBE5288"/>
    <w:rsid w:val="202729FC"/>
    <w:rsid w:val="20495A93"/>
    <w:rsid w:val="210A6DB1"/>
    <w:rsid w:val="211F5E0A"/>
    <w:rsid w:val="214168FF"/>
    <w:rsid w:val="215A570B"/>
    <w:rsid w:val="215B6AC5"/>
    <w:rsid w:val="2172694A"/>
    <w:rsid w:val="219514F3"/>
    <w:rsid w:val="219565E9"/>
    <w:rsid w:val="21A904F5"/>
    <w:rsid w:val="22670E0A"/>
    <w:rsid w:val="227336EA"/>
    <w:rsid w:val="228C65EA"/>
    <w:rsid w:val="22945244"/>
    <w:rsid w:val="22A74516"/>
    <w:rsid w:val="22AC07DE"/>
    <w:rsid w:val="22AF149B"/>
    <w:rsid w:val="22B02552"/>
    <w:rsid w:val="22CC2E9A"/>
    <w:rsid w:val="22E23FA6"/>
    <w:rsid w:val="230357C4"/>
    <w:rsid w:val="230D6B03"/>
    <w:rsid w:val="230D6E63"/>
    <w:rsid w:val="2310465D"/>
    <w:rsid w:val="23131690"/>
    <w:rsid w:val="23275900"/>
    <w:rsid w:val="236F0D5E"/>
    <w:rsid w:val="23923E8B"/>
    <w:rsid w:val="23AC43BC"/>
    <w:rsid w:val="23E01890"/>
    <w:rsid w:val="23FA7AF9"/>
    <w:rsid w:val="23FE2E0C"/>
    <w:rsid w:val="24720703"/>
    <w:rsid w:val="2499235E"/>
    <w:rsid w:val="24A1134B"/>
    <w:rsid w:val="24A57D3A"/>
    <w:rsid w:val="250C5500"/>
    <w:rsid w:val="252C4DA5"/>
    <w:rsid w:val="253830B0"/>
    <w:rsid w:val="25390A48"/>
    <w:rsid w:val="25397CF3"/>
    <w:rsid w:val="253F18AA"/>
    <w:rsid w:val="254A7259"/>
    <w:rsid w:val="25B7092C"/>
    <w:rsid w:val="26233309"/>
    <w:rsid w:val="262A45E0"/>
    <w:rsid w:val="26405B0B"/>
    <w:rsid w:val="26606B4B"/>
    <w:rsid w:val="26622533"/>
    <w:rsid w:val="268A7F4B"/>
    <w:rsid w:val="26921C4F"/>
    <w:rsid w:val="26E57B7F"/>
    <w:rsid w:val="26FE573A"/>
    <w:rsid w:val="27246412"/>
    <w:rsid w:val="27371DF7"/>
    <w:rsid w:val="27950981"/>
    <w:rsid w:val="279A32AC"/>
    <w:rsid w:val="27B578D1"/>
    <w:rsid w:val="27B62E09"/>
    <w:rsid w:val="27C6138A"/>
    <w:rsid w:val="27CD27FA"/>
    <w:rsid w:val="27F731E6"/>
    <w:rsid w:val="282643A3"/>
    <w:rsid w:val="28405096"/>
    <w:rsid w:val="285357C1"/>
    <w:rsid w:val="2857645A"/>
    <w:rsid w:val="28927C1A"/>
    <w:rsid w:val="28960E61"/>
    <w:rsid w:val="28D95D4B"/>
    <w:rsid w:val="28DB330E"/>
    <w:rsid w:val="28E36B61"/>
    <w:rsid w:val="28EF3496"/>
    <w:rsid w:val="29006323"/>
    <w:rsid w:val="2906218F"/>
    <w:rsid w:val="29065CD8"/>
    <w:rsid w:val="29096E2B"/>
    <w:rsid w:val="29226502"/>
    <w:rsid w:val="294C6F77"/>
    <w:rsid w:val="297E767E"/>
    <w:rsid w:val="29994E9E"/>
    <w:rsid w:val="299D20C4"/>
    <w:rsid w:val="29A56B5B"/>
    <w:rsid w:val="29C14A9C"/>
    <w:rsid w:val="29F80A19"/>
    <w:rsid w:val="2A4D1B95"/>
    <w:rsid w:val="2A6B5C94"/>
    <w:rsid w:val="2A7A0BB7"/>
    <w:rsid w:val="2AC374A4"/>
    <w:rsid w:val="2ACB5307"/>
    <w:rsid w:val="2AD55344"/>
    <w:rsid w:val="2AE00164"/>
    <w:rsid w:val="2B0130B9"/>
    <w:rsid w:val="2B1644CC"/>
    <w:rsid w:val="2B466216"/>
    <w:rsid w:val="2B5A4CE8"/>
    <w:rsid w:val="2BA773C0"/>
    <w:rsid w:val="2BCD399C"/>
    <w:rsid w:val="2BE227B6"/>
    <w:rsid w:val="2C4C65A2"/>
    <w:rsid w:val="2C7A14C3"/>
    <w:rsid w:val="2C7D5157"/>
    <w:rsid w:val="2CB26488"/>
    <w:rsid w:val="2CB703A1"/>
    <w:rsid w:val="2CB70C68"/>
    <w:rsid w:val="2D4447DA"/>
    <w:rsid w:val="2D965C44"/>
    <w:rsid w:val="2D9A76DA"/>
    <w:rsid w:val="2DB812AB"/>
    <w:rsid w:val="2DDD6103"/>
    <w:rsid w:val="2DF750C9"/>
    <w:rsid w:val="2E2D5A49"/>
    <w:rsid w:val="2E4B7103"/>
    <w:rsid w:val="2E7253FA"/>
    <w:rsid w:val="2E9B28E7"/>
    <w:rsid w:val="2E9F24D6"/>
    <w:rsid w:val="2EA41A6F"/>
    <w:rsid w:val="2EAA6086"/>
    <w:rsid w:val="2EB07A91"/>
    <w:rsid w:val="2EB206EC"/>
    <w:rsid w:val="2F2A01D9"/>
    <w:rsid w:val="2F472BD6"/>
    <w:rsid w:val="2F6D6BCC"/>
    <w:rsid w:val="2F80740D"/>
    <w:rsid w:val="2FC276F2"/>
    <w:rsid w:val="2FDF42E0"/>
    <w:rsid w:val="2FF13639"/>
    <w:rsid w:val="300346AB"/>
    <w:rsid w:val="307744B1"/>
    <w:rsid w:val="30780D95"/>
    <w:rsid w:val="30A01583"/>
    <w:rsid w:val="30A3328A"/>
    <w:rsid w:val="30BC0631"/>
    <w:rsid w:val="31274E1B"/>
    <w:rsid w:val="314D2BEC"/>
    <w:rsid w:val="31555289"/>
    <w:rsid w:val="31786B63"/>
    <w:rsid w:val="318F1A58"/>
    <w:rsid w:val="31D61AC4"/>
    <w:rsid w:val="31DC39AE"/>
    <w:rsid w:val="31DF41A3"/>
    <w:rsid w:val="32175B20"/>
    <w:rsid w:val="321C7B93"/>
    <w:rsid w:val="322A2045"/>
    <w:rsid w:val="325D6705"/>
    <w:rsid w:val="32864EF8"/>
    <w:rsid w:val="329175F1"/>
    <w:rsid w:val="32B74FE1"/>
    <w:rsid w:val="32E1616D"/>
    <w:rsid w:val="32EF54DE"/>
    <w:rsid w:val="331956FA"/>
    <w:rsid w:val="33271F09"/>
    <w:rsid w:val="3334086C"/>
    <w:rsid w:val="33541F52"/>
    <w:rsid w:val="337A38CA"/>
    <w:rsid w:val="337B6BDA"/>
    <w:rsid w:val="33A307DC"/>
    <w:rsid w:val="33A51324"/>
    <w:rsid w:val="33A9551A"/>
    <w:rsid w:val="33AC02F3"/>
    <w:rsid w:val="34062BBE"/>
    <w:rsid w:val="34133EBC"/>
    <w:rsid w:val="348F3EAD"/>
    <w:rsid w:val="34E04E0E"/>
    <w:rsid w:val="34FF4381"/>
    <w:rsid w:val="35434669"/>
    <w:rsid w:val="354D3782"/>
    <w:rsid w:val="355D55A4"/>
    <w:rsid w:val="356A27E5"/>
    <w:rsid w:val="356F0153"/>
    <w:rsid w:val="358616C8"/>
    <w:rsid w:val="35C43B0E"/>
    <w:rsid w:val="35E34FDA"/>
    <w:rsid w:val="35F32A63"/>
    <w:rsid w:val="36181383"/>
    <w:rsid w:val="36693014"/>
    <w:rsid w:val="36736795"/>
    <w:rsid w:val="3683579F"/>
    <w:rsid w:val="36986230"/>
    <w:rsid w:val="36AD4173"/>
    <w:rsid w:val="371A0A93"/>
    <w:rsid w:val="372C3FF5"/>
    <w:rsid w:val="374114CD"/>
    <w:rsid w:val="377C7612"/>
    <w:rsid w:val="378D34FB"/>
    <w:rsid w:val="37B2635A"/>
    <w:rsid w:val="37B44FB0"/>
    <w:rsid w:val="37D871A7"/>
    <w:rsid w:val="37D879A3"/>
    <w:rsid w:val="37FD100A"/>
    <w:rsid w:val="38323E9F"/>
    <w:rsid w:val="383F1E4C"/>
    <w:rsid w:val="386021C9"/>
    <w:rsid w:val="3864156E"/>
    <w:rsid w:val="38960647"/>
    <w:rsid w:val="38CF3C14"/>
    <w:rsid w:val="38E23F72"/>
    <w:rsid w:val="39023BD8"/>
    <w:rsid w:val="390C2C91"/>
    <w:rsid w:val="394960FA"/>
    <w:rsid w:val="39584F6C"/>
    <w:rsid w:val="39695020"/>
    <w:rsid w:val="3986281B"/>
    <w:rsid w:val="39BD5095"/>
    <w:rsid w:val="3A0C4077"/>
    <w:rsid w:val="3A1F5C0D"/>
    <w:rsid w:val="3A220705"/>
    <w:rsid w:val="3A3149DC"/>
    <w:rsid w:val="3A604266"/>
    <w:rsid w:val="3A752654"/>
    <w:rsid w:val="3AA449D6"/>
    <w:rsid w:val="3ABF32E3"/>
    <w:rsid w:val="3AC502E6"/>
    <w:rsid w:val="3AD3147B"/>
    <w:rsid w:val="3AEF3536"/>
    <w:rsid w:val="3B0960AD"/>
    <w:rsid w:val="3B221DD0"/>
    <w:rsid w:val="3B376C72"/>
    <w:rsid w:val="3B73163A"/>
    <w:rsid w:val="3B7A4E26"/>
    <w:rsid w:val="3C392999"/>
    <w:rsid w:val="3C5E5A62"/>
    <w:rsid w:val="3CA06766"/>
    <w:rsid w:val="3CA06E95"/>
    <w:rsid w:val="3CB44D77"/>
    <w:rsid w:val="3D086F0B"/>
    <w:rsid w:val="3D726D89"/>
    <w:rsid w:val="3DD10FAD"/>
    <w:rsid w:val="3DFB2E23"/>
    <w:rsid w:val="3E346CB2"/>
    <w:rsid w:val="3E3D6C5F"/>
    <w:rsid w:val="3E6228D3"/>
    <w:rsid w:val="3E8F6B90"/>
    <w:rsid w:val="3EAA516B"/>
    <w:rsid w:val="3EBB7C32"/>
    <w:rsid w:val="3ED46182"/>
    <w:rsid w:val="3EE71640"/>
    <w:rsid w:val="3EF60049"/>
    <w:rsid w:val="3F257220"/>
    <w:rsid w:val="3F294F49"/>
    <w:rsid w:val="3F396AA8"/>
    <w:rsid w:val="3F48632B"/>
    <w:rsid w:val="3FAE0C63"/>
    <w:rsid w:val="3FF476B8"/>
    <w:rsid w:val="404932BC"/>
    <w:rsid w:val="404C3DA4"/>
    <w:rsid w:val="40BD4170"/>
    <w:rsid w:val="40C315BB"/>
    <w:rsid w:val="41372223"/>
    <w:rsid w:val="41483F1A"/>
    <w:rsid w:val="4192700B"/>
    <w:rsid w:val="41945E53"/>
    <w:rsid w:val="41CE2F11"/>
    <w:rsid w:val="41D87224"/>
    <w:rsid w:val="41D97416"/>
    <w:rsid w:val="41E83F52"/>
    <w:rsid w:val="41F512CF"/>
    <w:rsid w:val="42124F2C"/>
    <w:rsid w:val="42174E0A"/>
    <w:rsid w:val="42532C73"/>
    <w:rsid w:val="426E4B3D"/>
    <w:rsid w:val="427361F4"/>
    <w:rsid w:val="427C6D02"/>
    <w:rsid w:val="42890F8C"/>
    <w:rsid w:val="42E22E9F"/>
    <w:rsid w:val="42FF26BA"/>
    <w:rsid w:val="432606EE"/>
    <w:rsid w:val="43450CF4"/>
    <w:rsid w:val="434F352B"/>
    <w:rsid w:val="43B2756C"/>
    <w:rsid w:val="43ED6B4B"/>
    <w:rsid w:val="43F7016F"/>
    <w:rsid w:val="44060F44"/>
    <w:rsid w:val="443A10FB"/>
    <w:rsid w:val="444C540F"/>
    <w:rsid w:val="44600F06"/>
    <w:rsid w:val="446D3B8B"/>
    <w:rsid w:val="447E6E7A"/>
    <w:rsid w:val="4480130E"/>
    <w:rsid w:val="448B4BCA"/>
    <w:rsid w:val="44923A97"/>
    <w:rsid w:val="44C62AF1"/>
    <w:rsid w:val="44CB3157"/>
    <w:rsid w:val="44D208C0"/>
    <w:rsid w:val="44FD057B"/>
    <w:rsid w:val="450D7A23"/>
    <w:rsid w:val="45302AB9"/>
    <w:rsid w:val="453D38C0"/>
    <w:rsid w:val="456B421A"/>
    <w:rsid w:val="45FE62BA"/>
    <w:rsid w:val="45FF70E9"/>
    <w:rsid w:val="460B72D8"/>
    <w:rsid w:val="46284908"/>
    <w:rsid w:val="463A4532"/>
    <w:rsid w:val="463A5B2F"/>
    <w:rsid w:val="46711C53"/>
    <w:rsid w:val="46714765"/>
    <w:rsid w:val="46941D5F"/>
    <w:rsid w:val="47250ADE"/>
    <w:rsid w:val="47600760"/>
    <w:rsid w:val="477C4E05"/>
    <w:rsid w:val="47943B1A"/>
    <w:rsid w:val="4797020A"/>
    <w:rsid w:val="47CB5173"/>
    <w:rsid w:val="47D75B4B"/>
    <w:rsid w:val="47E72373"/>
    <w:rsid w:val="47E76663"/>
    <w:rsid w:val="48735AEF"/>
    <w:rsid w:val="48F76BBA"/>
    <w:rsid w:val="49000D45"/>
    <w:rsid w:val="49792AC3"/>
    <w:rsid w:val="498656E1"/>
    <w:rsid w:val="49E746EF"/>
    <w:rsid w:val="49FC49C5"/>
    <w:rsid w:val="4A370307"/>
    <w:rsid w:val="4A3B0BFC"/>
    <w:rsid w:val="4A500C34"/>
    <w:rsid w:val="4A621509"/>
    <w:rsid w:val="4A786491"/>
    <w:rsid w:val="4A8348F1"/>
    <w:rsid w:val="4A977BA6"/>
    <w:rsid w:val="4AAD6084"/>
    <w:rsid w:val="4B085059"/>
    <w:rsid w:val="4B104D4F"/>
    <w:rsid w:val="4BA35F84"/>
    <w:rsid w:val="4BCE011B"/>
    <w:rsid w:val="4BDB66B8"/>
    <w:rsid w:val="4BED49F1"/>
    <w:rsid w:val="4BF72377"/>
    <w:rsid w:val="4C215C57"/>
    <w:rsid w:val="4C3611A4"/>
    <w:rsid w:val="4C3C50C9"/>
    <w:rsid w:val="4C6D4670"/>
    <w:rsid w:val="4C8F3DCE"/>
    <w:rsid w:val="4D5D26EE"/>
    <w:rsid w:val="4D5E736A"/>
    <w:rsid w:val="4DDC0889"/>
    <w:rsid w:val="4DEC1892"/>
    <w:rsid w:val="4DED2AAC"/>
    <w:rsid w:val="4DFA6ED3"/>
    <w:rsid w:val="4DFB6015"/>
    <w:rsid w:val="4E3C2172"/>
    <w:rsid w:val="4EA532BF"/>
    <w:rsid w:val="4EAD1BB2"/>
    <w:rsid w:val="4EFE3532"/>
    <w:rsid w:val="4F025283"/>
    <w:rsid w:val="4F166405"/>
    <w:rsid w:val="4F4744BF"/>
    <w:rsid w:val="4F4779FA"/>
    <w:rsid w:val="4F5936B3"/>
    <w:rsid w:val="4F716FBB"/>
    <w:rsid w:val="4F773564"/>
    <w:rsid w:val="4F794037"/>
    <w:rsid w:val="4F813C35"/>
    <w:rsid w:val="4F9053DD"/>
    <w:rsid w:val="4F9159C0"/>
    <w:rsid w:val="4FCA41FB"/>
    <w:rsid w:val="500F28B0"/>
    <w:rsid w:val="50133F18"/>
    <w:rsid w:val="50BF5A8C"/>
    <w:rsid w:val="50CC081E"/>
    <w:rsid w:val="50EE1353"/>
    <w:rsid w:val="51056EFF"/>
    <w:rsid w:val="511A3458"/>
    <w:rsid w:val="5142426C"/>
    <w:rsid w:val="514D1882"/>
    <w:rsid w:val="51571BE2"/>
    <w:rsid w:val="5162069D"/>
    <w:rsid w:val="5162352A"/>
    <w:rsid w:val="51D55557"/>
    <w:rsid w:val="523768F6"/>
    <w:rsid w:val="52581109"/>
    <w:rsid w:val="525E28F1"/>
    <w:rsid w:val="52777A65"/>
    <w:rsid w:val="529C44E6"/>
    <w:rsid w:val="52C11368"/>
    <w:rsid w:val="532571FC"/>
    <w:rsid w:val="534E2C5A"/>
    <w:rsid w:val="5380340C"/>
    <w:rsid w:val="53803E3F"/>
    <w:rsid w:val="5399441A"/>
    <w:rsid w:val="5407247B"/>
    <w:rsid w:val="540F1310"/>
    <w:rsid w:val="542308C6"/>
    <w:rsid w:val="54343C52"/>
    <w:rsid w:val="5493775A"/>
    <w:rsid w:val="54AE42DE"/>
    <w:rsid w:val="54C36B21"/>
    <w:rsid w:val="54CB0571"/>
    <w:rsid w:val="550324FD"/>
    <w:rsid w:val="550B2958"/>
    <w:rsid w:val="551516DD"/>
    <w:rsid w:val="551C01D3"/>
    <w:rsid w:val="55361A4D"/>
    <w:rsid w:val="556B09D5"/>
    <w:rsid w:val="55BB4EEE"/>
    <w:rsid w:val="55E138C1"/>
    <w:rsid w:val="55FA16FD"/>
    <w:rsid w:val="56215CB5"/>
    <w:rsid w:val="563512E5"/>
    <w:rsid w:val="56B9055D"/>
    <w:rsid w:val="56CC59B9"/>
    <w:rsid w:val="56D80093"/>
    <w:rsid w:val="5704756D"/>
    <w:rsid w:val="5735406B"/>
    <w:rsid w:val="57D8542D"/>
    <w:rsid w:val="57F25A50"/>
    <w:rsid w:val="5807726A"/>
    <w:rsid w:val="583D45ED"/>
    <w:rsid w:val="583E2CB9"/>
    <w:rsid w:val="58C14792"/>
    <w:rsid w:val="5903272E"/>
    <w:rsid w:val="59374186"/>
    <w:rsid w:val="595746CA"/>
    <w:rsid w:val="59742584"/>
    <w:rsid w:val="597D7327"/>
    <w:rsid w:val="598C53CA"/>
    <w:rsid w:val="59A24ED8"/>
    <w:rsid w:val="59AB2156"/>
    <w:rsid w:val="59F94DFA"/>
    <w:rsid w:val="5A79102A"/>
    <w:rsid w:val="5AA3106D"/>
    <w:rsid w:val="5ABA7BF0"/>
    <w:rsid w:val="5AC76133"/>
    <w:rsid w:val="5AE517C6"/>
    <w:rsid w:val="5B122CC9"/>
    <w:rsid w:val="5B1D5341"/>
    <w:rsid w:val="5B303E8E"/>
    <w:rsid w:val="5B533247"/>
    <w:rsid w:val="5B664AB3"/>
    <w:rsid w:val="5BB73884"/>
    <w:rsid w:val="5BC00FA6"/>
    <w:rsid w:val="5BEC1827"/>
    <w:rsid w:val="5BEF4F70"/>
    <w:rsid w:val="5C17080E"/>
    <w:rsid w:val="5C327646"/>
    <w:rsid w:val="5C5E12AA"/>
    <w:rsid w:val="5C881649"/>
    <w:rsid w:val="5CD84ED2"/>
    <w:rsid w:val="5CE5145A"/>
    <w:rsid w:val="5CF55CA7"/>
    <w:rsid w:val="5D560651"/>
    <w:rsid w:val="5D7147EF"/>
    <w:rsid w:val="5D8F18D2"/>
    <w:rsid w:val="5DB867C5"/>
    <w:rsid w:val="5DD2494A"/>
    <w:rsid w:val="5DE74A9F"/>
    <w:rsid w:val="5E0A700D"/>
    <w:rsid w:val="5E121CBA"/>
    <w:rsid w:val="5E1932E4"/>
    <w:rsid w:val="5E19330D"/>
    <w:rsid w:val="5E2F00E6"/>
    <w:rsid w:val="5E4301FA"/>
    <w:rsid w:val="5E733A49"/>
    <w:rsid w:val="5E7A5982"/>
    <w:rsid w:val="5EBD1BA0"/>
    <w:rsid w:val="5ECB351C"/>
    <w:rsid w:val="5ED53598"/>
    <w:rsid w:val="5F037552"/>
    <w:rsid w:val="5F102039"/>
    <w:rsid w:val="5F4753ED"/>
    <w:rsid w:val="5F567B95"/>
    <w:rsid w:val="5F6D24D9"/>
    <w:rsid w:val="5FA4655C"/>
    <w:rsid w:val="5FE137FD"/>
    <w:rsid w:val="5FEF30B0"/>
    <w:rsid w:val="60263615"/>
    <w:rsid w:val="60582DEC"/>
    <w:rsid w:val="605D588F"/>
    <w:rsid w:val="607656C5"/>
    <w:rsid w:val="60B13B3B"/>
    <w:rsid w:val="60D066EB"/>
    <w:rsid w:val="60FB4E26"/>
    <w:rsid w:val="61401F43"/>
    <w:rsid w:val="614D5B7C"/>
    <w:rsid w:val="616C31CE"/>
    <w:rsid w:val="616F07C8"/>
    <w:rsid w:val="61C9383C"/>
    <w:rsid w:val="61F74094"/>
    <w:rsid w:val="61FA48A8"/>
    <w:rsid w:val="61FA4DA0"/>
    <w:rsid w:val="622259E5"/>
    <w:rsid w:val="62440CF4"/>
    <w:rsid w:val="625F2318"/>
    <w:rsid w:val="62893378"/>
    <w:rsid w:val="628A67D0"/>
    <w:rsid w:val="628B4EE4"/>
    <w:rsid w:val="62C27D12"/>
    <w:rsid w:val="62CA4CA8"/>
    <w:rsid w:val="62CE3C62"/>
    <w:rsid w:val="6358252B"/>
    <w:rsid w:val="637F264B"/>
    <w:rsid w:val="638A5A71"/>
    <w:rsid w:val="638F74A2"/>
    <w:rsid w:val="63D431F7"/>
    <w:rsid w:val="63DE497C"/>
    <w:rsid w:val="63F94D8E"/>
    <w:rsid w:val="642373CA"/>
    <w:rsid w:val="642D78D2"/>
    <w:rsid w:val="6460129A"/>
    <w:rsid w:val="64C20C82"/>
    <w:rsid w:val="64DF5A41"/>
    <w:rsid w:val="64E8269C"/>
    <w:rsid w:val="65800DBE"/>
    <w:rsid w:val="658162AA"/>
    <w:rsid w:val="65AC5B4B"/>
    <w:rsid w:val="65C57C69"/>
    <w:rsid w:val="66021DFE"/>
    <w:rsid w:val="66160022"/>
    <w:rsid w:val="661840F3"/>
    <w:rsid w:val="66396E1F"/>
    <w:rsid w:val="664008F6"/>
    <w:rsid w:val="66507716"/>
    <w:rsid w:val="6689287F"/>
    <w:rsid w:val="66A03403"/>
    <w:rsid w:val="66A439D0"/>
    <w:rsid w:val="66C86148"/>
    <w:rsid w:val="66D3539D"/>
    <w:rsid w:val="66D9161D"/>
    <w:rsid w:val="66DC61E7"/>
    <w:rsid w:val="66E64090"/>
    <w:rsid w:val="67483140"/>
    <w:rsid w:val="675077F5"/>
    <w:rsid w:val="676935F6"/>
    <w:rsid w:val="6774247A"/>
    <w:rsid w:val="677547AB"/>
    <w:rsid w:val="67872EE5"/>
    <w:rsid w:val="678F574A"/>
    <w:rsid w:val="67A44978"/>
    <w:rsid w:val="67F17D2F"/>
    <w:rsid w:val="68085A58"/>
    <w:rsid w:val="684747D8"/>
    <w:rsid w:val="68831898"/>
    <w:rsid w:val="68991EA8"/>
    <w:rsid w:val="68C72E83"/>
    <w:rsid w:val="68CE7971"/>
    <w:rsid w:val="68D77739"/>
    <w:rsid w:val="68DE36D6"/>
    <w:rsid w:val="692569E7"/>
    <w:rsid w:val="692F584D"/>
    <w:rsid w:val="69511822"/>
    <w:rsid w:val="69BA34CC"/>
    <w:rsid w:val="69C65EDC"/>
    <w:rsid w:val="69E73DCB"/>
    <w:rsid w:val="6A0C4FD1"/>
    <w:rsid w:val="6A1B7B3E"/>
    <w:rsid w:val="6A25347C"/>
    <w:rsid w:val="6A5B7D30"/>
    <w:rsid w:val="6A5D69AC"/>
    <w:rsid w:val="6A70171C"/>
    <w:rsid w:val="6A99526A"/>
    <w:rsid w:val="6AAE3754"/>
    <w:rsid w:val="6AC12AA8"/>
    <w:rsid w:val="6ACB2880"/>
    <w:rsid w:val="6AE76FEE"/>
    <w:rsid w:val="6AF464A7"/>
    <w:rsid w:val="6B0B54CA"/>
    <w:rsid w:val="6B0B78F3"/>
    <w:rsid w:val="6B1F1F09"/>
    <w:rsid w:val="6B4D3108"/>
    <w:rsid w:val="6B531F9D"/>
    <w:rsid w:val="6B5671B3"/>
    <w:rsid w:val="6B7A0317"/>
    <w:rsid w:val="6B88776A"/>
    <w:rsid w:val="6BF53296"/>
    <w:rsid w:val="6BFC0EE4"/>
    <w:rsid w:val="6C7C0723"/>
    <w:rsid w:val="6CBD1C6D"/>
    <w:rsid w:val="6CDB6A42"/>
    <w:rsid w:val="6D4879BB"/>
    <w:rsid w:val="6D692BD2"/>
    <w:rsid w:val="6D6A4900"/>
    <w:rsid w:val="6D6F7AA7"/>
    <w:rsid w:val="6DF71D9D"/>
    <w:rsid w:val="6E127774"/>
    <w:rsid w:val="6E1356B8"/>
    <w:rsid w:val="6E5E7954"/>
    <w:rsid w:val="6EB500F2"/>
    <w:rsid w:val="6EF018DA"/>
    <w:rsid w:val="6F526DDB"/>
    <w:rsid w:val="6F630EC2"/>
    <w:rsid w:val="6F840149"/>
    <w:rsid w:val="6F85497E"/>
    <w:rsid w:val="6F8803DA"/>
    <w:rsid w:val="6FA27D92"/>
    <w:rsid w:val="6FB748BA"/>
    <w:rsid w:val="6FE84DCA"/>
    <w:rsid w:val="6FFA2357"/>
    <w:rsid w:val="702C582C"/>
    <w:rsid w:val="704163E6"/>
    <w:rsid w:val="70476415"/>
    <w:rsid w:val="705646F1"/>
    <w:rsid w:val="70673E1D"/>
    <w:rsid w:val="70C1673B"/>
    <w:rsid w:val="70C70FDC"/>
    <w:rsid w:val="70DF60DD"/>
    <w:rsid w:val="711351AA"/>
    <w:rsid w:val="713B265A"/>
    <w:rsid w:val="717D7524"/>
    <w:rsid w:val="71A85042"/>
    <w:rsid w:val="71DE080E"/>
    <w:rsid w:val="72017582"/>
    <w:rsid w:val="72197304"/>
    <w:rsid w:val="722026B7"/>
    <w:rsid w:val="722820EC"/>
    <w:rsid w:val="7231339F"/>
    <w:rsid w:val="723A7CD2"/>
    <w:rsid w:val="72426EF2"/>
    <w:rsid w:val="72BF015B"/>
    <w:rsid w:val="72DB16C2"/>
    <w:rsid w:val="72E6106D"/>
    <w:rsid w:val="730417BE"/>
    <w:rsid w:val="731C01AB"/>
    <w:rsid w:val="73200472"/>
    <w:rsid w:val="73340FAE"/>
    <w:rsid w:val="733607BC"/>
    <w:rsid w:val="73404BB0"/>
    <w:rsid w:val="735A49A2"/>
    <w:rsid w:val="735B34F4"/>
    <w:rsid w:val="735D6B1D"/>
    <w:rsid w:val="73623947"/>
    <w:rsid w:val="737904D2"/>
    <w:rsid w:val="73B23E52"/>
    <w:rsid w:val="73C81C2B"/>
    <w:rsid w:val="73D0093E"/>
    <w:rsid w:val="73F765AF"/>
    <w:rsid w:val="7418113F"/>
    <w:rsid w:val="74283F08"/>
    <w:rsid w:val="744E2EAA"/>
    <w:rsid w:val="745A631B"/>
    <w:rsid w:val="74630762"/>
    <w:rsid w:val="74927BA8"/>
    <w:rsid w:val="74AF59BC"/>
    <w:rsid w:val="74EE2EFB"/>
    <w:rsid w:val="74F33B69"/>
    <w:rsid w:val="75174974"/>
    <w:rsid w:val="75477F61"/>
    <w:rsid w:val="754D5567"/>
    <w:rsid w:val="75793ADD"/>
    <w:rsid w:val="758D2856"/>
    <w:rsid w:val="75AE2768"/>
    <w:rsid w:val="75DE1030"/>
    <w:rsid w:val="75DE4745"/>
    <w:rsid w:val="762B1B9B"/>
    <w:rsid w:val="765B6D16"/>
    <w:rsid w:val="76A332AB"/>
    <w:rsid w:val="76A62791"/>
    <w:rsid w:val="76CE13E6"/>
    <w:rsid w:val="76DB7945"/>
    <w:rsid w:val="770A0DE3"/>
    <w:rsid w:val="771A2CDE"/>
    <w:rsid w:val="771B4694"/>
    <w:rsid w:val="77B825F5"/>
    <w:rsid w:val="78005041"/>
    <w:rsid w:val="787F210E"/>
    <w:rsid w:val="78AC102B"/>
    <w:rsid w:val="78CE3B7D"/>
    <w:rsid w:val="78EC5A3B"/>
    <w:rsid w:val="78FB4D05"/>
    <w:rsid w:val="79080BFD"/>
    <w:rsid w:val="79204F89"/>
    <w:rsid w:val="79624C91"/>
    <w:rsid w:val="796A21EF"/>
    <w:rsid w:val="79B64A73"/>
    <w:rsid w:val="79C3276A"/>
    <w:rsid w:val="79C938A0"/>
    <w:rsid w:val="79D62AAA"/>
    <w:rsid w:val="79FB6999"/>
    <w:rsid w:val="7A15230A"/>
    <w:rsid w:val="7A8C4FB8"/>
    <w:rsid w:val="7ABE072D"/>
    <w:rsid w:val="7ABF6073"/>
    <w:rsid w:val="7ADB4E9E"/>
    <w:rsid w:val="7ADF1A20"/>
    <w:rsid w:val="7B0232F4"/>
    <w:rsid w:val="7B2E001B"/>
    <w:rsid w:val="7B525DC1"/>
    <w:rsid w:val="7B591607"/>
    <w:rsid w:val="7B6D35AF"/>
    <w:rsid w:val="7B6E6C1F"/>
    <w:rsid w:val="7B8A18B7"/>
    <w:rsid w:val="7BAD165E"/>
    <w:rsid w:val="7BB65866"/>
    <w:rsid w:val="7BE73E33"/>
    <w:rsid w:val="7CBD1FAA"/>
    <w:rsid w:val="7D920C19"/>
    <w:rsid w:val="7D974A8E"/>
    <w:rsid w:val="7DA33D14"/>
    <w:rsid w:val="7DD94C18"/>
    <w:rsid w:val="7E071D9D"/>
    <w:rsid w:val="7E290488"/>
    <w:rsid w:val="7E59177F"/>
    <w:rsid w:val="7EBA42C0"/>
    <w:rsid w:val="7EC45A32"/>
    <w:rsid w:val="7ED94FB1"/>
    <w:rsid w:val="7EEC5E3A"/>
    <w:rsid w:val="7F0118A9"/>
    <w:rsid w:val="7F5F4B02"/>
    <w:rsid w:val="7F73087C"/>
    <w:rsid w:val="7F9419AA"/>
    <w:rsid w:val="7FCD3206"/>
    <w:rsid w:val="7FD20452"/>
    <w:rsid w:val="7FEA4055"/>
    <w:rsid w:val="7FEC57EE"/>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nhideWhenUsed="0" w:uiPriority="99" w:semiHidden="0" w:name="heading 3"/>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nhideWhenUsed="0" w:uiPriority="0" w:semiHidden="0" w:name="List Number" w:locked="1"/>
    <w:lsdException w:uiPriority="99" w:name="List 2"/>
    <w:lsdException w:uiPriority="99" w:name="List 3"/>
    <w:lsdException w:unhideWhenUsed="0" w:uiPriority="0" w:semiHidden="0" w:name="List 4" w:locked="1"/>
    <w:lsdException w:unhideWhenUsed="0" w:uiPriority="0" w:semiHidden="0" w:name="List 5" w:locked="1"/>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nhideWhenUsed="0" w:uiPriority="0" w:semiHidden="0" w:name="Salutation" w:locked="1"/>
    <w:lsdException w:unhideWhenUsed="0" w:uiPriority="0" w:semiHidden="0" w:name="Date" w:locked="1"/>
    <w:lsdException w:unhideWhenUsed="0" w:uiPriority="0" w:semiHidden="0" w:name="Body Text First Indent" w:locked="1"/>
    <w:lsdException w:uiPriority="99" w:name="Body Text First Indent 2"/>
    <w:lsdException w:uiPriority="99" w:name="Note Heading"/>
    <w:lsdException w:qFormat="1" w:unhideWhenUsed="0" w:uiPriority="99" w:semiHidden="0"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nhideWhenUsed="0" w:uiPriority="99" w:semiHidden="0" w:name="FollowedHyperlink"/>
    <w:lsdException w:qFormat="1" w:unhideWhenUsed="0" w:uiPriority="0" w:semiHidden="0" w:name="Strong" w:locked="1"/>
    <w:lsdException w:qFormat="1" w:unhideWhenUsed="0" w:uiPriority="99"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3"/>
    <w:basedOn w:val="1"/>
    <w:next w:val="1"/>
    <w:link w:val="14"/>
    <w:qFormat/>
    <w:uiPriority w:val="99"/>
    <w:pPr>
      <w:jc w:val="left"/>
      <w:outlineLvl w:val="2"/>
    </w:pPr>
    <w:rPr>
      <w:rFonts w:ascii="宋体" w:hAnsi="宋体"/>
      <w:b/>
      <w:kern w:val="0"/>
      <w:sz w:val="27"/>
      <w:szCs w:val="27"/>
    </w:rPr>
  </w:style>
  <w:style w:type="character" w:default="1" w:styleId="10">
    <w:name w:val="Default Paragraph Font"/>
    <w:unhideWhenUsed/>
    <w:qFormat/>
    <w:uiPriority w:val="1"/>
  </w:style>
  <w:style w:type="table" w:default="1" w:styleId="8">
    <w:name w:val="Normal Table"/>
    <w:unhideWhenUsed/>
    <w:qFormat/>
    <w:uiPriority w:val="99"/>
    <w:tblPr>
      <w:tblCellMar>
        <w:top w:w="0" w:type="dxa"/>
        <w:left w:w="108" w:type="dxa"/>
        <w:bottom w:w="0" w:type="dxa"/>
        <w:right w:w="108" w:type="dxa"/>
      </w:tblCellMar>
    </w:tblPr>
  </w:style>
  <w:style w:type="paragraph" w:styleId="3">
    <w:name w:val="Balloon Text"/>
    <w:basedOn w:val="1"/>
    <w:link w:val="28"/>
    <w:semiHidden/>
    <w:qFormat/>
    <w:uiPriority w:val="99"/>
    <w:rPr>
      <w:sz w:val="18"/>
      <w:szCs w:val="18"/>
    </w:rPr>
  </w:style>
  <w:style w:type="paragraph" w:styleId="4">
    <w:name w:val="footer"/>
    <w:basedOn w:val="1"/>
    <w:link w:val="25"/>
    <w:qFormat/>
    <w:uiPriority w:val="99"/>
    <w:pPr>
      <w:tabs>
        <w:tab w:val="center" w:pos="4153"/>
        <w:tab w:val="right" w:pos="8306"/>
      </w:tabs>
      <w:snapToGrid w:val="0"/>
      <w:jc w:val="left"/>
    </w:pPr>
    <w:rPr>
      <w:sz w:val="18"/>
      <w:szCs w:val="18"/>
    </w:rPr>
  </w:style>
  <w:style w:type="paragraph" w:styleId="5">
    <w:name w:val="header"/>
    <w:basedOn w:val="1"/>
    <w:link w:val="24"/>
    <w:qFormat/>
    <w:uiPriority w:val="99"/>
    <w:pPr>
      <w:pBdr>
        <w:bottom w:val="single" w:color="auto" w:sz="6" w:space="1"/>
      </w:pBdr>
      <w:tabs>
        <w:tab w:val="center" w:pos="4153"/>
        <w:tab w:val="right" w:pos="8306"/>
      </w:tabs>
      <w:snapToGrid w:val="0"/>
      <w:jc w:val="center"/>
    </w:pPr>
    <w:rPr>
      <w:sz w:val="18"/>
      <w:szCs w:val="18"/>
    </w:rPr>
  </w:style>
  <w:style w:type="paragraph" w:styleId="6">
    <w:name w:val="Body Text 2"/>
    <w:basedOn w:val="1"/>
    <w:link w:val="26"/>
    <w:qFormat/>
    <w:uiPriority w:val="99"/>
    <w:pPr>
      <w:spacing w:after="120" w:line="480" w:lineRule="auto"/>
    </w:pPr>
    <w:rPr>
      <w:rFonts w:ascii="Times New Roman" w:hAnsi="Times New Roman"/>
    </w:rPr>
  </w:style>
  <w:style w:type="paragraph" w:styleId="7">
    <w:name w:val="Normal (Web)"/>
    <w:basedOn w:val="1"/>
    <w:qFormat/>
    <w:uiPriority w:val="99"/>
    <w:pPr>
      <w:jc w:val="left"/>
    </w:pPr>
    <w:rPr>
      <w:kern w:val="0"/>
      <w:sz w:val="24"/>
    </w:rPr>
  </w:style>
  <w:style w:type="table" w:styleId="9">
    <w:name w:val="Table Grid"/>
    <w:basedOn w:val="8"/>
    <w:qFormat/>
    <w:uiPriority w:val="9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1">
    <w:name w:val="FollowedHyperlink"/>
    <w:qFormat/>
    <w:uiPriority w:val="99"/>
    <w:rPr>
      <w:rFonts w:cs="Times New Roman"/>
      <w:color w:val="800080"/>
      <w:u w:val="none"/>
    </w:rPr>
  </w:style>
  <w:style w:type="character" w:styleId="12">
    <w:name w:val="Emphasis"/>
    <w:qFormat/>
    <w:uiPriority w:val="99"/>
    <w:rPr>
      <w:rFonts w:cs="Times New Roman"/>
      <w:u w:val="none"/>
    </w:rPr>
  </w:style>
  <w:style w:type="character" w:styleId="13">
    <w:name w:val="Hyperlink"/>
    <w:qFormat/>
    <w:uiPriority w:val="99"/>
    <w:rPr>
      <w:rFonts w:cs="Times New Roman"/>
      <w:color w:val="EE4735"/>
      <w:u w:val="none"/>
    </w:rPr>
  </w:style>
  <w:style w:type="character" w:customStyle="1" w:styleId="14">
    <w:name w:val="标题 3 Char"/>
    <w:link w:val="2"/>
    <w:qFormat/>
    <w:uiPriority w:val="99"/>
    <w:rPr>
      <w:b/>
      <w:sz w:val="32"/>
    </w:rPr>
  </w:style>
  <w:style w:type="paragraph" w:customStyle="1" w:styleId="15">
    <w:name w:val="gb_imgtwo"/>
    <w:basedOn w:val="1"/>
    <w:qFormat/>
    <w:uiPriority w:val="99"/>
    <w:pPr>
      <w:jc w:val="left"/>
    </w:pPr>
    <w:rPr>
      <w:kern w:val="0"/>
    </w:rPr>
  </w:style>
  <w:style w:type="paragraph" w:customStyle="1" w:styleId="16">
    <w:name w:val="gb_img"/>
    <w:basedOn w:val="1"/>
    <w:qFormat/>
    <w:uiPriority w:val="99"/>
    <w:pPr>
      <w:jc w:val="left"/>
    </w:pPr>
    <w:rPr>
      <w:kern w:val="0"/>
    </w:rPr>
  </w:style>
  <w:style w:type="paragraph" w:customStyle="1" w:styleId="17">
    <w:name w:val="gb_imgthree"/>
    <w:basedOn w:val="1"/>
    <w:qFormat/>
    <w:uiPriority w:val="99"/>
    <w:pPr>
      <w:jc w:val="left"/>
    </w:pPr>
    <w:rPr>
      <w:kern w:val="0"/>
    </w:rPr>
  </w:style>
  <w:style w:type="paragraph" w:customStyle="1" w:styleId="18">
    <w:name w:val="dsk_bt_xian"/>
    <w:basedOn w:val="1"/>
    <w:qFormat/>
    <w:uiPriority w:val="99"/>
    <w:pPr>
      <w:pBdr>
        <w:left w:val="single" w:color="E2E2E2" w:sz="6" w:space="0"/>
        <w:bottom w:val="single" w:color="E2E2E2" w:sz="6" w:space="0"/>
      </w:pBdr>
      <w:ind w:left="2400"/>
      <w:jc w:val="left"/>
    </w:pPr>
    <w:rPr>
      <w:kern w:val="0"/>
    </w:rPr>
  </w:style>
  <w:style w:type="paragraph" w:customStyle="1" w:styleId="19">
    <w:name w:val="one_biao"/>
    <w:basedOn w:val="1"/>
    <w:qFormat/>
    <w:uiPriority w:val="99"/>
    <w:pPr>
      <w:jc w:val="center"/>
    </w:pPr>
    <w:rPr>
      <w:rFonts w:ascii="微软雅黑" w:hAnsi="微软雅黑" w:eastAsia="微软雅黑"/>
      <w:color w:val="333333"/>
      <w:kern w:val="0"/>
      <w:sz w:val="24"/>
    </w:rPr>
  </w:style>
  <w:style w:type="paragraph" w:customStyle="1" w:styleId="20">
    <w:name w:val="one_smaall"/>
    <w:basedOn w:val="1"/>
    <w:qFormat/>
    <w:uiPriority w:val="99"/>
    <w:pPr>
      <w:jc w:val="center"/>
    </w:pPr>
    <w:rPr>
      <w:rFonts w:ascii="微软雅黑" w:hAnsi="微软雅黑" w:eastAsia="微软雅黑"/>
      <w:color w:val="999999"/>
      <w:kern w:val="0"/>
      <w:sz w:val="18"/>
      <w:szCs w:val="18"/>
    </w:rPr>
  </w:style>
  <w:style w:type="character" w:customStyle="1" w:styleId="21">
    <w:name w:val="one_span1"/>
    <w:qFormat/>
    <w:uiPriority w:val="99"/>
    <w:rPr>
      <w:rFonts w:cs="Times New Roman"/>
      <w:color w:val="E67762"/>
    </w:rPr>
  </w:style>
  <w:style w:type="character" w:customStyle="1" w:styleId="22">
    <w:name w:val="two_span1"/>
    <w:qFormat/>
    <w:uiPriority w:val="99"/>
    <w:rPr>
      <w:rFonts w:cs="Times New Roman"/>
      <w:color w:val="FC8404"/>
    </w:rPr>
  </w:style>
  <w:style w:type="character" w:customStyle="1" w:styleId="23">
    <w:name w:val="three_span1"/>
    <w:qFormat/>
    <w:uiPriority w:val="99"/>
    <w:rPr>
      <w:rFonts w:cs="Times New Roman"/>
      <w:color w:val="70AAF1"/>
    </w:rPr>
  </w:style>
  <w:style w:type="character" w:customStyle="1" w:styleId="24">
    <w:name w:val="页眉 Char"/>
    <w:link w:val="5"/>
    <w:qFormat/>
    <w:locked/>
    <w:uiPriority w:val="99"/>
    <w:rPr>
      <w:rFonts w:ascii="Calibri" w:hAnsi="Calibri" w:eastAsia="宋体" w:cs="Times New Roman"/>
      <w:kern w:val="2"/>
      <w:sz w:val="18"/>
      <w:szCs w:val="18"/>
    </w:rPr>
  </w:style>
  <w:style w:type="character" w:customStyle="1" w:styleId="25">
    <w:name w:val="页脚 Char"/>
    <w:link w:val="4"/>
    <w:qFormat/>
    <w:locked/>
    <w:uiPriority w:val="99"/>
    <w:rPr>
      <w:rFonts w:ascii="Calibri" w:hAnsi="Calibri" w:eastAsia="宋体" w:cs="Times New Roman"/>
      <w:kern w:val="2"/>
      <w:sz w:val="18"/>
      <w:szCs w:val="18"/>
    </w:rPr>
  </w:style>
  <w:style w:type="character" w:customStyle="1" w:styleId="26">
    <w:name w:val="正文文本 2 Char"/>
    <w:link w:val="6"/>
    <w:qFormat/>
    <w:locked/>
    <w:uiPriority w:val="99"/>
    <w:rPr>
      <w:rFonts w:cs="Times New Roman"/>
      <w:kern w:val="2"/>
      <w:sz w:val="24"/>
      <w:szCs w:val="24"/>
    </w:rPr>
  </w:style>
  <w:style w:type="paragraph" w:styleId="27">
    <w:name w:val="List Paragraph"/>
    <w:basedOn w:val="1"/>
    <w:qFormat/>
    <w:uiPriority w:val="99"/>
    <w:pPr>
      <w:ind w:firstLine="420" w:firstLineChars="200"/>
    </w:pPr>
    <w:rPr>
      <w:szCs w:val="22"/>
    </w:rPr>
  </w:style>
  <w:style w:type="character" w:customStyle="1" w:styleId="28">
    <w:name w:val="批注框文本 Char"/>
    <w:link w:val="3"/>
    <w:semiHidden/>
    <w:qFormat/>
    <w:locked/>
    <w:uiPriority w:val="99"/>
    <w:rPr>
      <w:rFonts w:ascii="Calibri" w:hAnsi="Calibri" w:eastAsia="宋体" w:cs="Times New Roman"/>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12</Pages>
  <Words>845</Words>
  <Characters>4818</Characters>
  <Lines>40</Lines>
  <Paragraphs>11</Paragraphs>
  <TotalTime>1</TotalTime>
  <ScaleCrop>false</ScaleCrop>
  <LinksUpToDate>false</LinksUpToDate>
  <CharactersWithSpaces>5652</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2017-12-29T07:55:00Z</dcterms:created>
  <dc:creator>aa</dc:creator>
  <cp:lastModifiedBy>荼蘼</cp:lastModifiedBy>
  <cp:lastPrinted>2020-10-19T02:50:00Z</cp:lastPrinted>
  <dcterms:modified xsi:type="dcterms:W3CDTF">2020-10-19T03:36:00Z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